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7D" w:rsidRDefault="0071427D" w:rsidP="0071427D">
      <w:pPr>
        <w:jc w:val="center"/>
        <w:rPr>
          <w:bCs/>
        </w:rPr>
      </w:pPr>
      <w:r>
        <w:rPr>
          <w:noProof/>
        </w:rPr>
        <w:drawing>
          <wp:inline distT="0" distB="0" distL="0" distR="0" wp14:anchorId="36037383" wp14:editId="3D7343B4">
            <wp:extent cx="714375" cy="771525"/>
            <wp:effectExtent l="0" t="0" r="9525" b="9525"/>
            <wp:docPr id="11" name="Imagem 1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27D" w:rsidRPr="001D2E94" w:rsidRDefault="0071427D" w:rsidP="0071427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71427D" w:rsidRPr="001D2E94" w:rsidRDefault="0071427D" w:rsidP="0071427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71427D" w:rsidRPr="001D2E94" w:rsidRDefault="0071427D" w:rsidP="0071427D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71427D" w:rsidRDefault="0071427D" w:rsidP="0071427D">
      <w:pPr>
        <w:spacing w:line="360" w:lineRule="auto"/>
        <w:jc w:val="center"/>
        <w:rPr>
          <w:b/>
          <w:bCs/>
          <w:u w:val="single"/>
        </w:rPr>
      </w:pPr>
    </w:p>
    <w:p w:rsidR="0071427D" w:rsidRPr="00E627B6" w:rsidRDefault="0071427D" w:rsidP="0071427D">
      <w:pPr>
        <w:spacing w:line="360" w:lineRule="auto"/>
        <w:jc w:val="center"/>
        <w:rPr>
          <w:b/>
          <w:u w:val="single"/>
        </w:rPr>
      </w:pPr>
      <w:r w:rsidRPr="00E627B6">
        <w:rPr>
          <w:b/>
          <w:bCs/>
          <w:u w:val="single"/>
        </w:rPr>
        <w:t>PROCESSO Nº 23074.</w:t>
      </w:r>
      <w:r>
        <w:rPr>
          <w:b/>
          <w:bCs/>
          <w:u w:val="single"/>
        </w:rPr>
        <w:t>054080/2018-92</w:t>
      </w:r>
    </w:p>
    <w:p w:rsidR="0071427D" w:rsidRDefault="004C3B7E" w:rsidP="0071427D">
      <w:pPr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ANEXO II</w:t>
      </w:r>
      <w:bookmarkStart w:id="0" w:name="_GoBack"/>
      <w:bookmarkEnd w:id="0"/>
    </w:p>
    <w:p w:rsidR="0071427D" w:rsidRDefault="0071427D" w:rsidP="0071427D">
      <w:pPr>
        <w:pStyle w:val="Ttulo1"/>
        <w:tabs>
          <w:tab w:val="left" w:pos="1701"/>
        </w:tabs>
        <w:spacing w:before="0" w:after="0"/>
        <w:jc w:val="both"/>
        <w:rPr>
          <w:bCs/>
          <w:szCs w:val="24"/>
        </w:rPr>
      </w:pPr>
    </w:p>
    <w:p w:rsidR="003D21E4" w:rsidRDefault="003D21E4" w:rsidP="003D21E4">
      <w:pPr>
        <w:pStyle w:val="Ttulo1"/>
        <w:numPr>
          <w:ilvl w:val="0"/>
          <w:numId w:val="1"/>
        </w:numPr>
        <w:tabs>
          <w:tab w:val="left" w:pos="1701"/>
        </w:tabs>
        <w:spacing w:before="0" w:after="0"/>
        <w:ind w:left="0" w:firstLine="0"/>
        <w:jc w:val="both"/>
        <w:rPr>
          <w:bCs/>
          <w:szCs w:val="24"/>
        </w:rPr>
      </w:pPr>
      <w:r w:rsidRPr="00320BCE">
        <w:rPr>
          <w:bCs/>
          <w:szCs w:val="24"/>
        </w:rPr>
        <w:t>DA HABILITAÇÃO DOS LICITANTES</w:t>
      </w:r>
    </w:p>
    <w:p w:rsidR="003D21E4" w:rsidRPr="00750F78" w:rsidRDefault="003D21E4" w:rsidP="003D21E4"/>
    <w:p w:rsidR="003D21E4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A habilitação do licitante será verificada mediante a análise dos seguintes documentos:</w:t>
      </w:r>
    </w:p>
    <w:p w:rsidR="003D21E4" w:rsidRPr="00320BCE" w:rsidRDefault="003D21E4" w:rsidP="003D21E4">
      <w:pPr>
        <w:tabs>
          <w:tab w:val="left" w:pos="1701"/>
        </w:tabs>
        <w:autoSpaceDE w:val="0"/>
        <w:spacing w:line="360" w:lineRule="auto"/>
        <w:jc w:val="both"/>
      </w:pP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Registro Comercial, no caso de empresário individual;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Ato Constitutivo, Estatuto ou Contrato Social, devidamente registrado, tratando-se de sociedades empresárias, e, no caso de sociedades por ações, acompanhado de documento de eleição de seus administradores. No caso de sociedades simples, a inscrição do ato Constitutivo, acompanhado de prova de diretoria em exercício. (Os documentos referidos neste item deverão estar acompanhados de todas as alterações ou </w:t>
      </w:r>
      <w:proofErr w:type="gramStart"/>
      <w:r w:rsidRPr="00320BCE">
        <w:t>da</w:t>
      </w:r>
      <w:proofErr w:type="gramEnd"/>
      <w:r w:rsidRPr="00320BCE">
        <w:t xml:space="preserve"> consolidação respectiva);</w:t>
      </w:r>
    </w:p>
    <w:p w:rsidR="003D21E4" w:rsidRPr="00025430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025430">
        <w:t>Decreto de autorização, tratando-se de empresa ou sociedade estrangeira em funcionamento no país, e ato de registro ou autorização para funcionamento expedido pelo órgão competente, quando a atividade assim o exigir.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Prova de Inscrição no Cadastro Nacional de Pessoa Jurídica (CNPJ), do Ministério da Fazenda;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Prova de Inscrição no Cadastro de Contribuintes Estadual ou Municipal, se houver, relativo à sede da licitante, pertinente ao seu ramo de atividade e compatível com o objeto deste edital;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Prova de Regularidade para com a Seguridade Social (INSS); 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Prova de Regularidade para com o Fundo de Garantia por Tempo de Serviço (FGTS);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Prova de Regularidade para com a Receita Federal do Brasil;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lastRenderedPageBreak/>
        <w:t>Prova de Regularidade para com a Fazenda Estadual e/ou Fazenda Municipal, conforme o caso.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Certidões negativas de falências e recuperação judicial ou extrajudicial expedidas pelos distribuidores da sede da empresa.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Não sendo o licitante sediado na Comarca da Capital do Estado da Paraíba e região metropolitana, as certidões deverão vir acompanhadas de declaração oficial da autoridade competente, relacionando os distribuidores que, na Comarca de sua sede tenham a atribuição para emitir certidões.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Declaração de que não possui em seu quadro de pessoal empregado (s) com menos de 18 (dezoito) anos de idade em trabalho noturno, perigoso ou insalubre e de 16 (dezesseis) anos de idade em qualquer trabalho, salvo na condição de aprendiz, a partir de 14 (quatorze) anos;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Certidão Negativa de Débitos Trabalhistas (CNDT), consoante art. 29, V, da Lei nº 8.666/93.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Declaração de fato superveniente, atestando a inexistência de circunstâncias;</w:t>
      </w:r>
    </w:p>
    <w:p w:rsidR="003D21E4" w:rsidRPr="00320BCE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Declaração de que a empresa licitante conhece e concorda com as condições estabelecidas </w:t>
      </w:r>
      <w:r w:rsidRPr="003D21E4">
        <w:rPr>
          <w:strike/>
        </w:rPr>
        <w:t>no edital</w:t>
      </w:r>
      <w:r w:rsidRPr="00320BCE">
        <w:t xml:space="preserve"> e que atende aos requisitos de habilitação.</w:t>
      </w:r>
    </w:p>
    <w:p w:rsidR="003D21E4" w:rsidRDefault="003D21E4" w:rsidP="003D21E4">
      <w:pPr>
        <w:numPr>
          <w:ilvl w:val="2"/>
          <w:numId w:val="2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Declaração de Elaboração Independente de Proposta</w:t>
      </w:r>
    </w:p>
    <w:p w:rsidR="003D21E4" w:rsidRPr="003D21E4" w:rsidRDefault="003D21E4" w:rsidP="003D21E4">
      <w:pPr>
        <w:tabs>
          <w:tab w:val="left" w:pos="1701"/>
        </w:tabs>
        <w:autoSpaceDE w:val="0"/>
        <w:spacing w:line="360" w:lineRule="auto"/>
        <w:jc w:val="both"/>
        <w:rPr>
          <w:strike/>
        </w:rPr>
      </w:pPr>
    </w:p>
    <w:p w:rsidR="003D21E4" w:rsidRPr="00320BCE" w:rsidRDefault="003D21E4" w:rsidP="003D21E4">
      <w:pPr>
        <w:numPr>
          <w:ilvl w:val="2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Para fins de habilitação, a verificação pelo órgão promotor do certame nos portais oficiais de órgãos e entidades emissores de certidões constitui meio legal de prova.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Em se tratando empresa do tipo franqueada ou filial, poderão ser apresentados os documentos referente à habilitação como sendo a do franqueador ou matriz da empresa, devendo em prazo de até 60 (sessenta) dias proceder registro documental no local de funcionamento do estabelecimento comercial nas dependências da UFPB.</w:t>
      </w:r>
    </w:p>
    <w:p w:rsidR="003D21E4" w:rsidRPr="005F4CC5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5F4CC5">
        <w:t xml:space="preserve">O licitante deve estar ciente do conteúdo </w:t>
      </w:r>
      <w:r w:rsidRPr="00025430">
        <w:t>inserto no Anexo V</w:t>
      </w:r>
      <w:r w:rsidR="00025430">
        <w:t xml:space="preserve">I do Termo de </w:t>
      </w:r>
      <w:proofErr w:type="spellStart"/>
      <w:r w:rsidR="00025430">
        <w:t>Referencia</w:t>
      </w:r>
      <w:proofErr w:type="spellEnd"/>
      <w:r w:rsidR="00025430">
        <w:t>,</w:t>
      </w:r>
      <w:r w:rsidRPr="005F4CC5">
        <w:t xml:space="preserve"> em atendimento aos critérios de sustentabilidade ambiental, respeitando as normas de proteção do meio ambiente, responsabilizando-se sobre danos ambientes.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Em se tratando de MICROEMPRESA (ME) ou EMPRESA DE PEQUENO PORTE (EPP), havendo alguma restrição na comprovação fiscal para efeito de contratação, será assegurado o prazo de 05 (cinco) dias úteis, prorrogável por igual </w:t>
      </w:r>
      <w:r w:rsidRPr="00320BCE">
        <w:lastRenderedPageBreak/>
        <w:t>período, para a regularização da documentação, a realização do pagamento ou parcelamento do débito e a emissão de eventuais certidões negativas ou positivas com efeito de certidão negativa, cujo termo inicial corresponderá ao momento da divulgação do resultado da fase de habilitação. A prorrogação do prazo poderá ser concedida a critério da Administração, quando requerida pelo licitante, mediante apresentação de justificativa, conforme estabelecido na Lei Complementar nº 123/06 e regulamentado pelo Decreto nº 8.538/2015.</w:t>
      </w:r>
    </w:p>
    <w:p w:rsidR="003D21E4" w:rsidRPr="00320BCE" w:rsidRDefault="003D21E4" w:rsidP="003D21E4">
      <w:pPr>
        <w:numPr>
          <w:ilvl w:val="2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A não regularização da documentação, no prazo previsto no subitem anterior, implicará decadência do direito à contratação, sem prejuízo das sanções previstas neste edital, sendo facultado à Administração convocar os licitantes remanescentes, na ordem de classificação, para a assinatura do contrato ou da ata, ou revogar a licitação.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As Certidões terão o prazo de validade que lhes são próprios; inexistindo este prazo, reputar-se-ão válidas por 90 (noventa) dias, contados de sua expedição.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A Contratante poderá promover visita às dependências da Licitante e consulta às entidades competentes, a fim de comprovar a exatidão das informações contidas nos documentos requeridos.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Se houver impossibilidade de apresentar qualquer documento por motivo de greve do órgão emissor, deverá o licitante apresentar declaração em papel timbrado da empresa, assinado por seu representante legal, de que não está em débito com o referido órgão e que, finda a greve, se compromete a apresentar o documento atualizado, para fins de direito, em até 10 (dez) dias úteis, independentemente da fase em que se encontrar o processo licitatório, sujeitando-se, no caso de não apresentação, às sanções previstas neste edital.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Se a documentação de habilitação não estiver completa e em estrita conformidade com as exigências deste edital, o licitante será inabilitado. </w:t>
      </w:r>
    </w:p>
    <w:p w:rsidR="003D21E4" w:rsidRPr="00320BCE" w:rsidRDefault="003D21E4" w:rsidP="003D21E4">
      <w:pPr>
        <w:numPr>
          <w:ilvl w:val="2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Documentos apresentados com a validade expirada também acarretarão a inabilitação do licitante.</w:t>
      </w:r>
    </w:p>
    <w:p w:rsidR="003D21E4" w:rsidRPr="00025430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025430">
        <w:t>As condições de habilitação deverão ser mantidas durante todo o procedimento</w:t>
      </w:r>
      <w:r w:rsidR="00025430">
        <w:t xml:space="preserve"> de dispensa de</w:t>
      </w:r>
      <w:r w:rsidRPr="00025430">
        <w:t xml:space="preserve"> licita</w:t>
      </w:r>
      <w:r w:rsidR="00025430">
        <w:t>ção</w:t>
      </w:r>
      <w:r w:rsidRPr="00025430">
        <w:t>.</w:t>
      </w:r>
    </w:p>
    <w:p w:rsidR="003D21E4" w:rsidRPr="00320BCE" w:rsidRDefault="003D21E4" w:rsidP="003D21E4">
      <w:pPr>
        <w:numPr>
          <w:ilvl w:val="1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>Da existência de sócio em comum:</w:t>
      </w:r>
    </w:p>
    <w:p w:rsidR="003D21E4" w:rsidRPr="00320BCE" w:rsidRDefault="003D21E4" w:rsidP="003D21E4">
      <w:pPr>
        <w:numPr>
          <w:ilvl w:val="2"/>
          <w:numId w:val="1"/>
        </w:numPr>
        <w:tabs>
          <w:tab w:val="left" w:pos="1701"/>
        </w:tabs>
        <w:autoSpaceDE w:val="0"/>
        <w:spacing w:line="360" w:lineRule="auto"/>
        <w:ind w:left="0" w:firstLine="0"/>
        <w:jc w:val="both"/>
      </w:pPr>
      <w:r w:rsidRPr="00320BCE">
        <w:t xml:space="preserve">Conforme o TCU (Acórdão nº 754/2015 – Plenário), a ocorrência de “empresas com sócios em comum que apresentem propostas para o mesmo item de </w:t>
      </w:r>
      <w:r w:rsidRPr="00320BCE">
        <w:lastRenderedPageBreak/>
        <w:t xml:space="preserve">determinada licitação” e a “existência de licitantes reiteradamente desclassificados por não atenderem aos editais ou não honrarem suas propostas” sugerem o possível enquadramento nas condutas tipificadas o art. 7º da Lei n. 10.520/2005 e que é necessária a instauração de processo administrativo com vistas à </w:t>
      </w:r>
      <w:proofErr w:type="spellStart"/>
      <w:r w:rsidRPr="00320BCE">
        <w:t>apenação</w:t>
      </w:r>
      <w:proofErr w:type="spellEnd"/>
      <w:r w:rsidRPr="00320BCE">
        <w:t xml:space="preserve"> das empresas que praticarem, injustificadamente, ato ilegal, que tem caráter abrangente e abarca condutas relacionadas não apenas à contratação em si, mas também ao procedimento licitatório e à execução da avença”, concluindo que os responsáveis pelos procedimentos licitatórios poderão ser responsabilizados em caso de omissão.</w:t>
      </w:r>
    </w:p>
    <w:p w:rsidR="00050A62" w:rsidRDefault="004C3B7E"/>
    <w:sectPr w:rsidR="00050A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0088E"/>
    <w:multiLevelType w:val="multilevel"/>
    <w:tmpl w:val="3A1250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2783559"/>
    <w:multiLevelType w:val="multilevel"/>
    <w:tmpl w:val="3FBEC31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E4"/>
    <w:rsid w:val="00025430"/>
    <w:rsid w:val="001A4F0A"/>
    <w:rsid w:val="003D21E4"/>
    <w:rsid w:val="004C3B7E"/>
    <w:rsid w:val="0071427D"/>
    <w:rsid w:val="00B04AD3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CF8A"/>
  <w15:chartTrackingRefBased/>
  <w15:docId w15:val="{F447EDDE-D15C-47D1-A238-7351C93E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Ttulo"/>
    <w:next w:val="Normal"/>
    <w:link w:val="Ttulo1Char"/>
    <w:qFormat/>
    <w:rsid w:val="003D21E4"/>
    <w:pPr>
      <w:keepNext/>
      <w:tabs>
        <w:tab w:val="left" w:pos="567"/>
      </w:tabs>
      <w:spacing w:before="240" w:after="120" w:line="360" w:lineRule="auto"/>
      <w:contextualSpacing w:val="0"/>
      <w:outlineLvl w:val="0"/>
    </w:pPr>
    <w:rPr>
      <w:rFonts w:ascii="Times New Roman" w:eastAsia="Times New Roman" w:hAnsi="Times New Roman" w:cs="Times New Roman"/>
      <w:b/>
      <w:spacing w:val="0"/>
      <w:kern w:val="32"/>
      <w:sz w:val="24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D21E4"/>
    <w:rPr>
      <w:rFonts w:ascii="Times New Roman" w:eastAsia="Times New Roman" w:hAnsi="Times New Roman" w:cs="Times New Roman"/>
      <w:b/>
      <w:kern w:val="32"/>
      <w:sz w:val="24"/>
      <w:szCs w:val="32"/>
      <w:lang w:eastAsia="pt-BR"/>
    </w:rPr>
  </w:style>
  <w:style w:type="character" w:styleId="Hyperlink">
    <w:name w:val="Hyperlink"/>
    <w:rsid w:val="003D21E4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D21E4"/>
    <w:pPr>
      <w:ind w:left="708"/>
    </w:pPr>
    <w:rPr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3D21E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D21E4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  <w:style w:type="paragraph" w:customStyle="1" w:styleId="xl49">
    <w:name w:val="xl49"/>
    <w:basedOn w:val="Normal"/>
    <w:rsid w:val="0071427D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1001</Words>
  <Characters>5408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Permissão de Uso</dc:creator>
  <cp:keywords/>
  <dc:description/>
  <cp:lastModifiedBy>Permissão de Uso</cp:lastModifiedBy>
  <cp:revision>4</cp:revision>
  <dcterms:created xsi:type="dcterms:W3CDTF">2018-08-30T14:10:00Z</dcterms:created>
  <dcterms:modified xsi:type="dcterms:W3CDTF">2018-08-30T16:06:00Z</dcterms:modified>
</cp:coreProperties>
</file>