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4049">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p>
    <w:p w:rsidR="00974049" w:rsidRPr="00974049" w:rsidRDefault="00974049" w:rsidP="00974049">
      <w:pPr>
        <w:tabs>
          <w:tab w:val="left" w:pos="1418"/>
        </w:tabs>
        <w:spacing w:line="360" w:lineRule="auto"/>
        <w:jc w:val="center"/>
        <w:rPr>
          <w:rFonts w:ascii="Times New Roman" w:hAnsi="Times New Roman" w:cs="Times New Roman"/>
          <w:b/>
          <w:sz w:val="24"/>
          <w:u w:val="single"/>
        </w:rPr>
      </w:pPr>
      <w:r w:rsidRPr="00974049">
        <w:rPr>
          <w:rFonts w:ascii="Times New Roman" w:hAnsi="Times New Roman" w:cs="Times New Roman"/>
          <w:b/>
          <w:sz w:val="24"/>
          <w:u w:val="single"/>
        </w:rPr>
        <w:t>PREGÃO ELETRÔNICO SRP UFPB/CPL-PU Nº 0</w:t>
      </w:r>
      <w:r w:rsidR="006B62D8">
        <w:rPr>
          <w:rFonts w:ascii="Times New Roman" w:hAnsi="Times New Roman" w:cs="Times New Roman"/>
          <w:b/>
          <w:sz w:val="24"/>
          <w:u w:val="single"/>
        </w:rPr>
        <w:t>11</w:t>
      </w:r>
      <w:r w:rsidRPr="00974049">
        <w:rPr>
          <w:rFonts w:ascii="Times New Roman" w:hAnsi="Times New Roman" w:cs="Times New Roman"/>
          <w:b/>
          <w:sz w:val="24"/>
          <w:u w:val="single"/>
        </w:rPr>
        <w:t>/2017</w:t>
      </w:r>
    </w:p>
    <w:p w:rsidR="00974049" w:rsidRPr="00974049" w:rsidRDefault="00974049" w:rsidP="00974049">
      <w:pPr>
        <w:tabs>
          <w:tab w:val="left" w:pos="1418"/>
        </w:tabs>
        <w:spacing w:line="360" w:lineRule="auto"/>
        <w:jc w:val="center"/>
        <w:rPr>
          <w:rFonts w:ascii="Times New Roman" w:hAnsi="Times New Roman" w:cs="Times New Roman"/>
          <w:b/>
          <w:sz w:val="24"/>
          <w:u w:val="single"/>
        </w:rPr>
      </w:pPr>
      <w:r w:rsidRPr="00974049">
        <w:rPr>
          <w:rFonts w:ascii="Times New Roman" w:hAnsi="Times New Roman" w:cs="Times New Roman"/>
          <w:b/>
          <w:sz w:val="24"/>
          <w:u w:val="single"/>
        </w:rPr>
        <w:t>PROCESSO ADMINISTRATIVO Nº 23074.</w:t>
      </w:r>
      <w:r w:rsidR="006B62D8">
        <w:rPr>
          <w:rFonts w:ascii="Times New Roman" w:hAnsi="Times New Roman" w:cs="Times New Roman"/>
          <w:b/>
          <w:sz w:val="24"/>
          <w:u w:val="single"/>
        </w:rPr>
        <w:t>017348</w:t>
      </w:r>
      <w:r w:rsidRPr="00974049">
        <w:rPr>
          <w:rFonts w:ascii="Times New Roman" w:hAnsi="Times New Roman" w:cs="Times New Roman"/>
          <w:b/>
          <w:sz w:val="24"/>
          <w:u w:val="single"/>
        </w:rPr>
        <w:t>/201</w:t>
      </w:r>
      <w:r w:rsidR="006B62D8">
        <w:rPr>
          <w:rFonts w:ascii="Times New Roman" w:hAnsi="Times New Roman" w:cs="Times New Roman"/>
          <w:b/>
          <w:sz w:val="24"/>
          <w:u w:val="single"/>
        </w:rPr>
        <w:t>7</w:t>
      </w:r>
      <w:r w:rsidRPr="00974049">
        <w:rPr>
          <w:rFonts w:ascii="Times New Roman" w:hAnsi="Times New Roman" w:cs="Times New Roman"/>
          <w:b/>
          <w:sz w:val="24"/>
          <w:u w:val="single"/>
        </w:rPr>
        <w:t>-</w:t>
      </w:r>
      <w:r w:rsidR="006B62D8">
        <w:rPr>
          <w:rFonts w:ascii="Times New Roman" w:hAnsi="Times New Roman" w:cs="Times New Roman"/>
          <w:b/>
          <w:sz w:val="24"/>
          <w:u w:val="single"/>
        </w:rPr>
        <w:t>24</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w:t>
      </w:r>
      <w:r w:rsidRPr="00EE3E37">
        <w:rPr>
          <w:rFonts w:ascii="Times New Roman" w:hAnsi="Times New Roman" w:cs="Times New Roman"/>
          <w:sz w:val="24"/>
        </w:rPr>
        <w:t xml:space="preserve">modalidade </w:t>
      </w:r>
      <w:r w:rsidRPr="00EE3E37">
        <w:rPr>
          <w:rFonts w:ascii="Times New Roman" w:hAnsi="Times New Roman" w:cs="Times New Roman"/>
          <w:bCs/>
          <w:sz w:val="24"/>
        </w:rPr>
        <w:t xml:space="preserve">PREGÃO, </w:t>
      </w:r>
      <w:r w:rsidRPr="00EE3E37">
        <w:rPr>
          <w:rFonts w:ascii="Times New Roman" w:hAnsi="Times New Roman" w:cs="Times New Roman"/>
          <w:sz w:val="24"/>
        </w:rPr>
        <w:t>na forma</w:t>
      </w:r>
      <w:r w:rsidRPr="00EE3E37">
        <w:rPr>
          <w:rFonts w:ascii="Times New Roman" w:hAnsi="Times New Roman" w:cs="Times New Roman"/>
          <w:bCs/>
          <w:sz w:val="24"/>
        </w:rPr>
        <w:t xml:space="preserve"> ELETRÔNICA</w:t>
      </w:r>
      <w:r w:rsidRPr="00A817DF">
        <w:rPr>
          <w:rFonts w:ascii="Times New Roman" w:hAnsi="Times New Roman" w:cs="Times New Roman"/>
          <w:bCs/>
          <w:sz w:val="24"/>
        </w:rPr>
        <w:t xml:space="preserve">, </w:t>
      </w:r>
      <w:r w:rsidRPr="00A817DF">
        <w:rPr>
          <w:rFonts w:ascii="Times New Roman" w:hAnsi="Times New Roman" w:cs="Times New Roman"/>
          <w:b/>
          <w:bCs/>
          <w:sz w:val="24"/>
        </w:rPr>
        <w:t>do</w:t>
      </w:r>
      <w:r w:rsidRPr="00A817DF">
        <w:rPr>
          <w:rFonts w:ascii="Times New Roman" w:hAnsi="Times New Roman" w:cs="Times New Roman"/>
          <w:b/>
          <w:sz w:val="24"/>
        </w:rPr>
        <w:t xml:space="preserve"> </w:t>
      </w:r>
      <w:r w:rsidRPr="00A817DF">
        <w:rPr>
          <w:rFonts w:ascii="Times New Roman" w:hAnsi="Times New Roman" w:cs="Times New Roman"/>
          <w:b/>
          <w:bCs/>
          <w:iCs/>
          <w:sz w:val="24"/>
        </w:rPr>
        <w:t xml:space="preserve">tipo menor preço </w:t>
      </w:r>
      <w:r w:rsidR="00670BE8" w:rsidRPr="00A817DF">
        <w:rPr>
          <w:rFonts w:ascii="Times New Roman" w:hAnsi="Times New Roman" w:cs="Times New Roman"/>
          <w:b/>
          <w:bCs/>
          <w:iCs/>
          <w:sz w:val="24"/>
        </w:rPr>
        <w:t xml:space="preserve">anual global </w:t>
      </w:r>
      <w:r w:rsidRPr="00A817DF">
        <w:rPr>
          <w:rFonts w:ascii="Times New Roman" w:hAnsi="Times New Roman" w:cs="Times New Roman"/>
          <w:b/>
          <w:bCs/>
          <w:iCs/>
          <w:sz w:val="24"/>
        </w:rPr>
        <w:t xml:space="preserve">por </w:t>
      </w:r>
      <w:r w:rsidR="00670BE8" w:rsidRPr="00A817DF">
        <w:rPr>
          <w:rFonts w:ascii="Times New Roman" w:hAnsi="Times New Roman" w:cs="Times New Roman"/>
          <w:b/>
          <w:bCs/>
          <w:iCs/>
          <w:sz w:val="24"/>
        </w:rPr>
        <w:t>grupo</w:t>
      </w:r>
      <w:r w:rsidRPr="00A817DF">
        <w:rPr>
          <w:rFonts w:ascii="Times New Roman" w:hAnsi="Times New Roman" w:cs="Times New Roman"/>
          <w:b/>
          <w:bCs/>
          <w:sz w:val="24"/>
        </w:rPr>
        <w:t>,</w:t>
      </w:r>
      <w:r w:rsidRPr="00A817DF">
        <w:rPr>
          <w:rFonts w:ascii="Times New Roman" w:hAnsi="Times New Roman" w:cs="Times New Roman"/>
          <w:sz w:val="24"/>
        </w:rPr>
        <w:t xml:space="preserve"> </w:t>
      </w:r>
      <w:r w:rsidR="00223D59" w:rsidRPr="00A817DF">
        <w:rPr>
          <w:rFonts w:ascii="Times New Roman" w:hAnsi="Times New Roman" w:cs="Times New Roman"/>
          <w:color w:val="000000"/>
          <w:sz w:val="24"/>
        </w:rPr>
        <w:t>nos termos da Lei nº 10.520, de 17 de julho de 2002, do</w:t>
      </w:r>
      <w:r w:rsidR="00223D59" w:rsidRPr="00EE3E37">
        <w:rPr>
          <w:rFonts w:ascii="Times New Roman" w:hAnsi="Times New Roman" w:cs="Times New Roman"/>
          <w:color w:val="000000"/>
          <w:sz w:val="24"/>
        </w:rPr>
        <w:t xml:space="preserve"> Decreto nº 5.450, de 31 de</w:t>
      </w:r>
      <w:r w:rsidR="00223D59" w:rsidRPr="00223D59">
        <w:rPr>
          <w:rFonts w:ascii="Times New Roman" w:hAnsi="Times New Roman" w:cs="Times New Roman"/>
          <w:color w:val="000000"/>
          <w:sz w:val="24"/>
        </w:rPr>
        <w:t xml:space="preserv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381E2F" w:rsidRDefault="006A07B1" w:rsidP="009756B3">
      <w:pPr>
        <w:tabs>
          <w:tab w:val="left" w:pos="1418"/>
        </w:tabs>
        <w:spacing w:line="360" w:lineRule="auto"/>
        <w:rPr>
          <w:rFonts w:ascii="Times New Roman" w:hAnsi="Times New Roman" w:cs="Times New Roman"/>
          <w:b/>
          <w:sz w:val="24"/>
        </w:rPr>
      </w:pPr>
      <w:r w:rsidRPr="00381E2F">
        <w:rPr>
          <w:rFonts w:ascii="Times New Roman" w:hAnsi="Times New Roman" w:cs="Times New Roman"/>
          <w:b/>
          <w:sz w:val="24"/>
        </w:rPr>
        <w:t xml:space="preserve">Data da sessão: </w:t>
      </w:r>
      <w:r w:rsidR="008450BE">
        <w:rPr>
          <w:rFonts w:ascii="Times New Roman" w:hAnsi="Times New Roman" w:cs="Times New Roman"/>
          <w:b/>
          <w:sz w:val="24"/>
        </w:rPr>
        <w:t>30</w:t>
      </w:r>
      <w:r w:rsidR="00115A6F" w:rsidRPr="00381E2F">
        <w:rPr>
          <w:rFonts w:ascii="Times New Roman" w:hAnsi="Times New Roman" w:cs="Times New Roman"/>
          <w:b/>
          <w:sz w:val="24"/>
        </w:rPr>
        <w:t>/</w:t>
      </w:r>
      <w:r w:rsidR="008450BE">
        <w:rPr>
          <w:rFonts w:ascii="Times New Roman" w:hAnsi="Times New Roman" w:cs="Times New Roman"/>
          <w:b/>
          <w:sz w:val="24"/>
        </w:rPr>
        <w:t>05</w:t>
      </w:r>
      <w:r w:rsidR="00115A6F" w:rsidRPr="00381E2F">
        <w:rPr>
          <w:rFonts w:ascii="Times New Roman" w:hAnsi="Times New Roman" w:cs="Times New Roman"/>
          <w:b/>
          <w:sz w:val="24"/>
        </w:rPr>
        <w:t>/201</w:t>
      </w:r>
      <w:r w:rsidR="00974049" w:rsidRPr="00381E2F">
        <w:rPr>
          <w:rFonts w:ascii="Times New Roman" w:hAnsi="Times New Roman" w:cs="Times New Roman"/>
          <w:b/>
          <w:sz w:val="24"/>
        </w:rPr>
        <w:t>7</w:t>
      </w:r>
      <w:r w:rsidRPr="00381E2F">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381E2F">
        <w:rPr>
          <w:rFonts w:ascii="Times New Roman" w:hAnsi="Times New Roman" w:cs="Times New Roman"/>
          <w:b/>
          <w:sz w:val="24"/>
        </w:rPr>
        <w:t xml:space="preserve">Horário: </w:t>
      </w:r>
      <w:r w:rsidR="008450BE">
        <w:rPr>
          <w:rFonts w:ascii="Times New Roman" w:hAnsi="Times New Roman" w:cs="Times New Roman"/>
          <w:b/>
          <w:sz w:val="24"/>
        </w:rPr>
        <w:t>09</w:t>
      </w:r>
      <w:r w:rsidRPr="00381E2F">
        <w:rPr>
          <w:rFonts w:ascii="Times New Roman" w:hAnsi="Times New Roman" w:cs="Times New Roman"/>
          <w:b/>
          <w:sz w:val="24"/>
        </w:rPr>
        <w:t>h:</w:t>
      </w:r>
      <w:r w:rsidR="008450BE">
        <w:rPr>
          <w:rFonts w:ascii="Times New Roman" w:hAnsi="Times New Roman" w:cs="Times New Roman"/>
          <w:b/>
          <w:sz w:val="24"/>
        </w:rPr>
        <w:t>30</w:t>
      </w:r>
      <w:bookmarkStart w:id="0" w:name="_GoBack"/>
      <w:bookmarkEnd w:id="0"/>
      <w:r w:rsidR="006A07B1" w:rsidRPr="00381E2F">
        <w:rPr>
          <w:rFonts w:ascii="Times New Roman" w:hAnsi="Times New Roman" w:cs="Times New Roman"/>
          <w:b/>
          <w:sz w:val="24"/>
        </w:rPr>
        <w:t>min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517AF1"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17AF1">
        <w:rPr>
          <w:rFonts w:ascii="Times New Roman" w:hAnsi="Times New Roman" w:cs="Times New Roman"/>
          <w:color w:val="auto"/>
          <w:sz w:val="24"/>
          <w:szCs w:val="24"/>
        </w:rPr>
        <w:lastRenderedPageBreak/>
        <w:t>D</w:t>
      </w:r>
      <w:r w:rsidR="000F104D" w:rsidRPr="00517AF1">
        <w:rPr>
          <w:rFonts w:ascii="Times New Roman" w:hAnsi="Times New Roman" w:cs="Times New Roman"/>
          <w:color w:val="auto"/>
          <w:sz w:val="24"/>
          <w:szCs w:val="24"/>
        </w:rPr>
        <w:t>O OBJETO</w:t>
      </w:r>
    </w:p>
    <w:p w:rsidR="006A07B1" w:rsidRPr="00517AF1" w:rsidRDefault="00BF4DC7" w:rsidP="009756B3">
      <w:pPr>
        <w:numPr>
          <w:ilvl w:val="1"/>
          <w:numId w:val="33"/>
        </w:numPr>
        <w:tabs>
          <w:tab w:val="left" w:pos="1418"/>
        </w:tabs>
        <w:spacing w:line="360" w:lineRule="auto"/>
        <w:ind w:left="0" w:firstLine="0"/>
        <w:jc w:val="both"/>
        <w:rPr>
          <w:rFonts w:ascii="Times New Roman" w:hAnsi="Times New Roman" w:cs="Times New Roman"/>
          <w:b/>
          <w:sz w:val="24"/>
        </w:rPr>
      </w:pPr>
      <w:r w:rsidRPr="00517AF1">
        <w:rPr>
          <w:rFonts w:ascii="Times New Roman" w:hAnsi="Times New Roman" w:cs="Times New Roman"/>
          <w:b/>
          <w:sz w:val="24"/>
        </w:rPr>
        <w:t>O objeto da presente licitação tem por objeto o registro de preços para eventual aquisição de material elétrico e eletrônico para atender às necessidades da UFPB em todos os seus Campi, conforme condições, quantidades, exigências e estimativas estabelecidas em Edital e em todos os seus anexos, bem como especificações constantes do Anexo VII do Edital (Planilha de Formação de Preços).</w:t>
      </w:r>
    </w:p>
    <w:p w:rsidR="006A07B1" w:rsidRPr="00517AF1" w:rsidRDefault="00245B99" w:rsidP="009756B3">
      <w:pPr>
        <w:numPr>
          <w:ilvl w:val="1"/>
          <w:numId w:val="33"/>
        </w:numPr>
        <w:tabs>
          <w:tab w:val="left" w:pos="1418"/>
        </w:tabs>
        <w:spacing w:line="360" w:lineRule="auto"/>
        <w:ind w:left="0" w:firstLine="0"/>
        <w:jc w:val="both"/>
        <w:rPr>
          <w:rFonts w:ascii="Times New Roman" w:hAnsi="Times New Roman" w:cs="Times New Roman"/>
          <w:b/>
          <w:sz w:val="24"/>
        </w:rPr>
      </w:pPr>
      <w:r w:rsidRPr="00517AF1">
        <w:rPr>
          <w:rFonts w:ascii="Times New Roman" w:hAnsi="Times New Roman" w:cs="Times New Roman"/>
          <w:b/>
          <w:sz w:val="24"/>
        </w:rPr>
        <w:t xml:space="preserve">A licitação será constituída por </w:t>
      </w:r>
      <w:r w:rsidR="00BF4DC7" w:rsidRPr="00517AF1">
        <w:rPr>
          <w:rFonts w:ascii="Times New Roman" w:hAnsi="Times New Roman" w:cs="Times New Roman"/>
          <w:b/>
          <w:sz w:val="24"/>
        </w:rPr>
        <w:t>20</w:t>
      </w:r>
      <w:r w:rsidRPr="00517AF1">
        <w:rPr>
          <w:rFonts w:ascii="Times New Roman" w:hAnsi="Times New Roman" w:cs="Times New Roman"/>
          <w:b/>
          <w:sz w:val="24"/>
        </w:rPr>
        <w:t xml:space="preserve"> (</w:t>
      </w:r>
      <w:r w:rsidR="00BF4DC7" w:rsidRPr="00517AF1">
        <w:rPr>
          <w:rFonts w:ascii="Times New Roman" w:hAnsi="Times New Roman" w:cs="Times New Roman"/>
          <w:b/>
          <w:sz w:val="24"/>
        </w:rPr>
        <w:t>vinte</w:t>
      </w:r>
      <w:r w:rsidRPr="00517AF1">
        <w:rPr>
          <w:rFonts w:ascii="Times New Roman" w:hAnsi="Times New Roman" w:cs="Times New Roman"/>
          <w:b/>
          <w:sz w:val="24"/>
        </w:rPr>
        <w:t xml:space="preserve">) grupos, formados, em sua totalidade, por </w:t>
      </w:r>
      <w:r w:rsidR="00974049" w:rsidRPr="00517AF1">
        <w:rPr>
          <w:rFonts w:ascii="Times New Roman" w:hAnsi="Times New Roman" w:cs="Times New Roman"/>
          <w:b/>
          <w:sz w:val="24"/>
        </w:rPr>
        <w:t>1</w:t>
      </w:r>
      <w:r w:rsidR="00BF4DC7" w:rsidRPr="00517AF1">
        <w:rPr>
          <w:rFonts w:ascii="Times New Roman" w:hAnsi="Times New Roman" w:cs="Times New Roman"/>
          <w:b/>
          <w:sz w:val="24"/>
        </w:rPr>
        <w:t>82</w:t>
      </w:r>
      <w:r w:rsidRPr="00517AF1">
        <w:rPr>
          <w:rFonts w:ascii="Times New Roman" w:hAnsi="Times New Roman" w:cs="Times New Roman"/>
          <w:b/>
          <w:sz w:val="24"/>
        </w:rPr>
        <w:t xml:space="preserve"> (</w:t>
      </w:r>
      <w:r w:rsidR="00BF4DC7" w:rsidRPr="00517AF1">
        <w:rPr>
          <w:rFonts w:ascii="Times New Roman" w:hAnsi="Times New Roman" w:cs="Times New Roman"/>
          <w:b/>
          <w:sz w:val="24"/>
        </w:rPr>
        <w:t>cento e oitenta e dois</w:t>
      </w:r>
      <w:r w:rsidRPr="00517AF1">
        <w:rPr>
          <w:rFonts w:ascii="Times New Roman" w:hAnsi="Times New Roman" w:cs="Times New Roman"/>
          <w:b/>
          <w:sz w:val="24"/>
        </w:rPr>
        <w:t>) itens que integram a Planilha de Formação de Preços (Anexo VII), devendo o licitante oferecer proposta para todos os itens que o</w:t>
      </w:r>
      <w:r w:rsidR="00A817DF" w:rsidRPr="00517AF1">
        <w:rPr>
          <w:rFonts w:ascii="Times New Roman" w:hAnsi="Times New Roman" w:cs="Times New Roman"/>
          <w:b/>
          <w:sz w:val="24"/>
        </w:rPr>
        <w:t>s</w:t>
      </w:r>
      <w:r w:rsidRPr="00517AF1">
        <w:rPr>
          <w:rFonts w:ascii="Times New Roman" w:hAnsi="Times New Roman" w:cs="Times New Roman"/>
          <w:b/>
          <w:sz w:val="24"/>
        </w:rPr>
        <w:t xml:space="preserve"> compõem, não podendo nenhum </w:t>
      </w:r>
      <w:r w:rsidR="007F4003" w:rsidRPr="00517AF1">
        <w:rPr>
          <w:rFonts w:ascii="Times New Roman" w:hAnsi="Times New Roman" w:cs="Times New Roman"/>
          <w:b/>
          <w:sz w:val="24"/>
        </w:rPr>
        <w:t>item</w:t>
      </w:r>
      <w:r w:rsidRPr="00517AF1">
        <w:rPr>
          <w:rFonts w:ascii="Times New Roman" w:hAnsi="Times New Roman" w:cs="Times New Roman"/>
          <w:b/>
          <w:sz w:val="24"/>
        </w:rPr>
        <w:t xml:space="preserve"> e/ou grupo apresentar lance acima do valor estimado pela Administração.</w:t>
      </w:r>
    </w:p>
    <w:p w:rsidR="00245B99" w:rsidRPr="00517AF1" w:rsidRDefault="00517AF1" w:rsidP="009756B3">
      <w:pPr>
        <w:numPr>
          <w:ilvl w:val="1"/>
          <w:numId w:val="33"/>
        </w:numPr>
        <w:tabs>
          <w:tab w:val="left" w:pos="1418"/>
        </w:tabs>
        <w:spacing w:line="360" w:lineRule="auto"/>
        <w:ind w:left="0" w:firstLine="0"/>
        <w:jc w:val="both"/>
        <w:rPr>
          <w:rFonts w:ascii="Times New Roman" w:hAnsi="Times New Roman" w:cs="Times New Roman"/>
          <w:b/>
          <w:sz w:val="24"/>
        </w:rPr>
      </w:pPr>
      <w:r w:rsidRPr="00517AF1">
        <w:rPr>
          <w:rFonts w:ascii="Times New Roman" w:hAnsi="Times New Roman" w:cs="Times New Roman"/>
          <w:b/>
          <w:color w:val="000000"/>
          <w:sz w:val="24"/>
        </w:rPr>
        <w:t>O</w:t>
      </w:r>
      <w:r w:rsidR="00BF4DC7" w:rsidRPr="00517AF1">
        <w:rPr>
          <w:rFonts w:ascii="Times New Roman" w:hAnsi="Times New Roman" w:cs="Times New Roman"/>
          <w:b/>
          <w:color w:val="000000"/>
          <w:sz w:val="24"/>
        </w:rPr>
        <w:t>s grupos 01, 02, 05, 06, 07, 08, 10, 11, 12, 14, 15, 17, 18, 19 e 20</w:t>
      </w:r>
      <w:r w:rsidRPr="00517AF1">
        <w:rPr>
          <w:rFonts w:ascii="Times New Roman" w:hAnsi="Times New Roman" w:cs="Times New Roman"/>
          <w:b/>
          <w:color w:val="000000"/>
          <w:sz w:val="24"/>
        </w:rPr>
        <w:t xml:space="preserve"> desta licitação</w:t>
      </w:r>
      <w:r w:rsidR="00BF4DC7" w:rsidRPr="00517AF1">
        <w:rPr>
          <w:rFonts w:ascii="Times New Roman" w:hAnsi="Times New Roman" w:cs="Times New Roman"/>
          <w:b/>
          <w:color w:val="000000"/>
          <w:sz w:val="24"/>
        </w:rPr>
        <w:t xml:space="preserve"> </w:t>
      </w:r>
      <w:r w:rsidRPr="00517AF1">
        <w:rPr>
          <w:rFonts w:ascii="Times New Roman" w:hAnsi="Times New Roman" w:cs="Times New Roman"/>
          <w:b/>
          <w:color w:val="000000"/>
          <w:sz w:val="24"/>
        </w:rPr>
        <w:t>estão</w:t>
      </w:r>
      <w:r w:rsidR="003376B6" w:rsidRPr="00517AF1">
        <w:rPr>
          <w:rFonts w:ascii="Times New Roman" w:hAnsi="Times New Roman" w:cs="Times New Roman"/>
          <w:b/>
          <w:color w:val="000000"/>
          <w:sz w:val="24"/>
        </w:rPr>
        <w:t xml:space="preserve"> destinad</w:t>
      </w:r>
      <w:r w:rsidRPr="00517AF1">
        <w:rPr>
          <w:rFonts w:ascii="Times New Roman" w:hAnsi="Times New Roman" w:cs="Times New Roman"/>
          <w:b/>
          <w:color w:val="000000"/>
          <w:sz w:val="24"/>
        </w:rPr>
        <w:t>os</w:t>
      </w:r>
      <w:r w:rsidR="003376B6" w:rsidRPr="00517AF1">
        <w:rPr>
          <w:rFonts w:ascii="Times New Roman" w:hAnsi="Times New Roman" w:cs="Times New Roman"/>
          <w:b/>
          <w:color w:val="000000"/>
          <w:sz w:val="24"/>
        </w:rPr>
        <w:t xml:space="preserve"> à participação de microempresas e empresas de pequeno porte, </w:t>
      </w:r>
      <w:r w:rsidRPr="00517AF1">
        <w:rPr>
          <w:rFonts w:ascii="Times New Roman" w:hAnsi="Times New Roman" w:cs="Times New Roman"/>
          <w:b/>
          <w:color w:val="000000"/>
          <w:sz w:val="24"/>
        </w:rPr>
        <w:t xml:space="preserve">com exclusividade, </w:t>
      </w:r>
      <w:r w:rsidR="003376B6" w:rsidRPr="00517AF1">
        <w:rPr>
          <w:rFonts w:ascii="Times New Roman" w:hAnsi="Times New Roman" w:cs="Times New Roman"/>
          <w:b/>
          <w:color w:val="000000"/>
          <w:sz w:val="24"/>
        </w:rPr>
        <w:t>segundo inciso I do art. 48 da Lei Complementar nº 123/2006 (alterado pela Lei Complementar nº 147/2014)</w:t>
      </w:r>
      <w:r w:rsidR="00A350C3" w:rsidRPr="00517AF1">
        <w:rPr>
          <w:rFonts w:ascii="Times New Roman" w:hAnsi="Times New Roman" w:cs="Times New Roman"/>
          <w:b/>
          <w:color w:val="000000"/>
          <w:sz w:val="24"/>
        </w:rPr>
        <w:t xml:space="preserve">, bem como art. 6º do Decreto n° </w:t>
      </w:r>
      <w:r w:rsidR="00A350C3" w:rsidRPr="00517AF1">
        <w:rPr>
          <w:rFonts w:ascii="Times New Roman" w:hAnsi="Times New Roman" w:cs="Times New Roman"/>
          <w:b/>
          <w:sz w:val="24"/>
        </w:rPr>
        <w:t>8.538, de 06 de outubro de 2015.</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w:t>
      </w:r>
      <w:r w:rsidRPr="00D265BD">
        <w:rPr>
          <w:rFonts w:ascii="Times New Roman" w:hAnsi="Times New Roman" w:cs="Times New Roman"/>
          <w:sz w:val="24"/>
        </w:rPr>
        <w:lastRenderedPageBreak/>
        <w:t xml:space="preserve">preços para o órgão gerenciador e órgãos participantes, </w:t>
      </w:r>
      <w:r w:rsidR="00381E2F" w:rsidRPr="00D265BD">
        <w:rPr>
          <w:rFonts w:ascii="Times New Roman" w:hAnsi="Times New Roman" w:cs="Times New Roman"/>
          <w:sz w:val="24"/>
        </w:rPr>
        <w:t>independentemente</w:t>
      </w:r>
      <w:r w:rsidRPr="00D265BD">
        <w:rPr>
          <w:rFonts w:ascii="Times New Roman" w:hAnsi="Times New Roman" w:cs="Times New Roman"/>
          <w:sz w:val="24"/>
        </w:rPr>
        <w:t xml:space="preserv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w:t>
      </w:r>
      <w:r w:rsidR="00BC033C">
        <w:rPr>
          <w:rFonts w:ascii="Times New Roman" w:hAnsi="Times New Roman" w:cs="Times New Roman"/>
          <w:b/>
          <w:sz w:val="24"/>
        </w:rPr>
        <w:t>nexo</w:t>
      </w:r>
      <w:r w:rsidRPr="00D265BD">
        <w:rPr>
          <w:rFonts w:ascii="Times New Roman" w:hAnsi="Times New Roman" w:cs="Times New Roman"/>
          <w:b/>
          <w:sz w:val="24"/>
        </w:rPr>
        <w:t xml:space="preserve">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DC58B4"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C58B4">
        <w:rPr>
          <w:rFonts w:ascii="Times New Roman" w:hAnsi="Times New Roman" w:cs="Times New Roman"/>
          <w:b/>
          <w:sz w:val="24"/>
        </w:rPr>
        <w:t>O v</w:t>
      </w:r>
      <w:r w:rsidR="00016D0B" w:rsidRPr="00DC58B4">
        <w:rPr>
          <w:rFonts w:ascii="Times New Roman" w:hAnsi="Times New Roman" w:cs="Times New Roman"/>
          <w:b/>
          <w:sz w:val="24"/>
        </w:rPr>
        <w:t xml:space="preserve">alor total </w:t>
      </w:r>
      <w:r w:rsidRPr="00DC58B4">
        <w:rPr>
          <w:rFonts w:ascii="Times New Roman" w:hAnsi="Times New Roman" w:cs="Times New Roman"/>
          <w:b/>
          <w:sz w:val="24"/>
        </w:rPr>
        <w:t xml:space="preserve">estimado pela Administração para esta </w:t>
      </w:r>
      <w:r w:rsidR="00016D0B" w:rsidRPr="00DC58B4">
        <w:rPr>
          <w:rFonts w:ascii="Times New Roman" w:hAnsi="Times New Roman" w:cs="Times New Roman"/>
          <w:b/>
          <w:sz w:val="24"/>
        </w:rPr>
        <w:t>licitação</w:t>
      </w:r>
      <w:r w:rsidRPr="00DC58B4">
        <w:rPr>
          <w:rFonts w:ascii="Times New Roman" w:hAnsi="Times New Roman" w:cs="Times New Roman"/>
          <w:b/>
          <w:sz w:val="24"/>
        </w:rPr>
        <w:t xml:space="preserve"> é de</w:t>
      </w:r>
      <w:r w:rsidR="00016D0B" w:rsidRPr="00DC58B4">
        <w:rPr>
          <w:rFonts w:ascii="Times New Roman" w:hAnsi="Times New Roman" w:cs="Times New Roman"/>
          <w:b/>
          <w:sz w:val="24"/>
        </w:rPr>
        <w:t xml:space="preserve"> </w:t>
      </w:r>
      <w:r w:rsidR="00F77C90" w:rsidRPr="00DC58B4">
        <w:rPr>
          <w:rFonts w:ascii="Times New Roman" w:hAnsi="Times New Roman" w:cs="Times New Roman"/>
          <w:b/>
          <w:sz w:val="24"/>
        </w:rPr>
        <w:t xml:space="preserve">R$ </w:t>
      </w:r>
      <w:r w:rsidR="00DC58B4" w:rsidRPr="00DC58B4">
        <w:rPr>
          <w:rFonts w:ascii="Times New Roman" w:hAnsi="Times New Roman" w:cs="Times New Roman"/>
          <w:b/>
          <w:sz w:val="24"/>
        </w:rPr>
        <w:t>1.769.986,06</w:t>
      </w:r>
      <w:r w:rsidR="00F77C90" w:rsidRPr="00DC58B4">
        <w:rPr>
          <w:rFonts w:ascii="Times New Roman" w:hAnsi="Times New Roman" w:cs="Times New Roman"/>
          <w:b/>
          <w:sz w:val="24"/>
        </w:rPr>
        <w:t xml:space="preserve"> (</w:t>
      </w:r>
      <w:r w:rsidR="00DC58B4" w:rsidRPr="00DC58B4">
        <w:rPr>
          <w:rFonts w:ascii="Times New Roman" w:hAnsi="Times New Roman" w:cs="Times New Roman"/>
          <w:b/>
          <w:sz w:val="24"/>
        </w:rPr>
        <w:t xml:space="preserve">Um Milhão, Setecentos e Sessenta e Nove Mil, Novecentos e Oitenta e Seis Reais e Seis </w:t>
      </w:r>
      <w:r w:rsidR="00A817DF" w:rsidRPr="00DC58B4">
        <w:rPr>
          <w:rFonts w:ascii="Times New Roman" w:hAnsi="Times New Roman" w:cs="Times New Roman"/>
          <w:b/>
          <w:sz w:val="24"/>
        </w:rPr>
        <w:t>Centavos</w:t>
      </w:r>
      <w:r w:rsidR="00F77C90" w:rsidRPr="00DC58B4">
        <w:rPr>
          <w:rFonts w:ascii="Times New Roman" w:hAnsi="Times New Roman" w:cs="Times New Roman"/>
          <w:b/>
          <w:sz w:val="24"/>
        </w:rPr>
        <w:t>)</w:t>
      </w:r>
      <w:r w:rsidRPr="00DC58B4">
        <w:rPr>
          <w:rFonts w:ascii="Times New Roman" w:hAnsi="Times New Roman" w:cs="Times New Roman"/>
          <w:b/>
          <w:sz w:val="24"/>
        </w:rPr>
        <w:t>,</w:t>
      </w:r>
      <w:r w:rsidR="00016D0B" w:rsidRPr="00DC58B4">
        <w:rPr>
          <w:rFonts w:ascii="Times New Roman" w:hAnsi="Times New Roman" w:cs="Times New Roman"/>
          <w:b/>
          <w:sz w:val="24"/>
        </w:rPr>
        <w:t xml:space="preserve"> conforme </w:t>
      </w:r>
      <w:r w:rsidRPr="00DC58B4">
        <w:rPr>
          <w:rFonts w:ascii="Times New Roman" w:hAnsi="Times New Roman" w:cs="Times New Roman"/>
          <w:b/>
          <w:sz w:val="24"/>
        </w:rPr>
        <w:t xml:space="preserve">Planilha de Formação de Preços (Anexo VII), </w:t>
      </w:r>
      <w:r w:rsidR="00016D0B" w:rsidRPr="00DC58B4">
        <w:rPr>
          <w:rFonts w:ascii="Times New Roman" w:hAnsi="Times New Roman" w:cs="Times New Roman"/>
          <w:b/>
          <w:sz w:val="24"/>
        </w:rPr>
        <w:t>a ser preenchid</w:t>
      </w:r>
      <w:r w:rsidR="00B962D7" w:rsidRPr="00DC58B4">
        <w:rPr>
          <w:rFonts w:ascii="Times New Roman" w:hAnsi="Times New Roman" w:cs="Times New Roman"/>
          <w:b/>
          <w:sz w:val="24"/>
        </w:rPr>
        <w:t>a</w:t>
      </w:r>
      <w:r w:rsidR="00016D0B" w:rsidRPr="00DC58B4">
        <w:rPr>
          <w:rFonts w:ascii="Times New Roman" w:hAnsi="Times New Roman" w:cs="Times New Roman"/>
          <w:b/>
          <w:sz w:val="24"/>
        </w:rPr>
        <w:t xml:space="preserve"> pelo licitante</w:t>
      </w:r>
      <w:r w:rsidRPr="00DC58B4">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Iniciada a etapa competitiva, os licitantes deverão encaminhar lances exclusivamente por meio de sistema eletrônico, sendo imediatamente informados do seu recebimento e do valor consignado no registro. </w:t>
      </w:r>
    </w:p>
    <w:p w:rsidR="000D223B" w:rsidRPr="00B962D7"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lance deverá ser </w:t>
      </w:r>
      <w:r w:rsidRPr="00A817DF">
        <w:rPr>
          <w:rFonts w:ascii="Times New Roman" w:hAnsi="Times New Roman" w:cs="Times New Roman"/>
          <w:sz w:val="24"/>
        </w:rPr>
        <w:t xml:space="preserve">ofertado </w:t>
      </w:r>
      <w:r w:rsidRPr="00A817DF">
        <w:rPr>
          <w:rFonts w:ascii="Times New Roman" w:hAnsi="Times New Roman" w:cs="Times New Roman"/>
          <w:b/>
          <w:sz w:val="24"/>
        </w:rPr>
        <w:t>pelo</w:t>
      </w:r>
      <w:r w:rsidR="00E37AF0" w:rsidRPr="00A817DF">
        <w:rPr>
          <w:rFonts w:ascii="Times New Roman" w:hAnsi="Times New Roman" w:cs="Times New Roman"/>
          <w:b/>
          <w:sz w:val="24"/>
        </w:rPr>
        <w:t xml:space="preserve"> menor valor global anual por </w:t>
      </w:r>
      <w:r w:rsidR="00B962D7" w:rsidRPr="00A817DF">
        <w:rPr>
          <w:rFonts w:ascii="Times New Roman" w:hAnsi="Times New Roman" w:cs="Times New Roman"/>
          <w:b/>
          <w:sz w:val="24"/>
        </w:rPr>
        <w:t>grupo</w:t>
      </w:r>
      <w:r w:rsidR="006D430F" w:rsidRPr="00A817DF">
        <w:rPr>
          <w:rFonts w:ascii="Times New Roman" w:hAnsi="Times New Roman" w:cs="Times New Roman"/>
          <w:sz w:val="24"/>
        </w:rPr>
        <w:t>,</w:t>
      </w:r>
      <w:r w:rsidR="006D430F" w:rsidRPr="00B962D7">
        <w:rPr>
          <w:rFonts w:ascii="Times New Roman" w:hAnsi="Times New Roman" w:cs="Times New Roman"/>
          <w:sz w:val="24"/>
        </w:rPr>
        <w:t xml:space="preserve"> devendo o licitante ofertar o valor unitário de cada item</w:t>
      </w:r>
      <w:r w:rsidR="006E15BE" w:rsidRPr="00B962D7">
        <w:rPr>
          <w:rFonts w:ascii="Times New Roman" w:hAnsi="Times New Roman" w:cs="Times New Roman"/>
          <w:sz w:val="24"/>
        </w:rPr>
        <w:t xml:space="preserve">, conforme Planilha de Formação de Preços (Anexo </w:t>
      </w:r>
      <w:r w:rsidR="008F702C" w:rsidRPr="00B962D7">
        <w:rPr>
          <w:rFonts w:ascii="Times New Roman" w:hAnsi="Times New Roman" w:cs="Times New Roman"/>
          <w:sz w:val="24"/>
        </w:rPr>
        <w:t>VII</w:t>
      </w:r>
      <w:r w:rsidR="006E15BE" w:rsidRPr="00B962D7">
        <w:rPr>
          <w:rFonts w:ascii="Times New Roman" w:hAnsi="Times New Roman" w:cs="Times New Roman"/>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w:t>
      </w:r>
      <w:r w:rsidRPr="00D265BD">
        <w:rPr>
          <w:rFonts w:ascii="Times New Roman" w:hAnsi="Times New Roman" w:cs="Times New Roman"/>
          <w:sz w:val="24"/>
        </w:rPr>
        <w:lastRenderedPageBreak/>
        <w:t xml:space="preserve">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F2E4C" w:rsidRPr="00943F13" w:rsidRDefault="00FF2E4C" w:rsidP="00FF2E4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F2E4C" w:rsidRPr="00943F13" w:rsidRDefault="00FF2E4C" w:rsidP="00FF2E4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 xml:space="preserve">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w:t>
      </w:r>
      <w:r w:rsidRPr="00D265BD">
        <w:rPr>
          <w:rFonts w:ascii="Times New Roman" w:hAnsi="Times New Roman" w:cs="Times New Roman"/>
          <w:sz w:val="24"/>
          <w:bdr w:val="none" w:sz="0" w:space="0" w:color="auto" w:frame="1"/>
        </w:rPr>
        <w:lastRenderedPageBreak/>
        <w:t>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644C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644C2">
        <w:rPr>
          <w:rFonts w:ascii="Times New Roman" w:hAnsi="Times New Roman" w:cs="Times New Roman"/>
          <w:b/>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D265BD">
          <w:rPr>
            <w:rStyle w:val="Hyperlink"/>
            <w:rFonts w:ascii="Times New Roman" w:hAnsi="Times New Roman" w:cs="Times New Roman"/>
            <w:color w:val="auto"/>
            <w:sz w:val="24"/>
            <w:lang w:eastAsia="en-US"/>
          </w:rPr>
          <w:t>cplpu@prefeitura.ufpb</w:t>
        </w:r>
      </w:hyperlink>
      <w:r w:rsidR="00BD5296">
        <w:rPr>
          <w:rStyle w:val="Hyperlink"/>
          <w:rFonts w:ascii="Times New Roman" w:hAnsi="Times New Roman" w:cs="Times New Roman"/>
          <w:color w:val="auto"/>
          <w:sz w:val="24"/>
          <w:lang w:eastAsia="en-US"/>
        </w:rPr>
        <w:t>.br</w:t>
      </w:r>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rsidR="00755FDD" w:rsidRPr="00B962D7" w:rsidRDefault="00702E17"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sz w:val="24"/>
          <w:lang w:eastAsia="en-US"/>
        </w:rPr>
        <w:t>Dentre os</w:t>
      </w:r>
      <w:r w:rsidR="00755FDD" w:rsidRPr="00B962D7">
        <w:rPr>
          <w:rFonts w:ascii="Times New Roman" w:hAnsi="Times New Roman" w:cs="Times New Roman"/>
          <w:sz w:val="24"/>
          <w:lang w:eastAsia="en-US"/>
        </w:rPr>
        <w:t xml:space="preserve"> documentos passíveis de solicitação pelo Pregoeiro, além daqueles descritos na Cláusula 8 deste Edital, </w:t>
      </w:r>
      <w:r w:rsidRPr="00B962D7">
        <w:rPr>
          <w:rFonts w:ascii="Times New Roman" w:hAnsi="Times New Roman" w:cs="Times New Roman"/>
          <w:sz w:val="24"/>
          <w:lang w:eastAsia="en-US"/>
        </w:rPr>
        <w:t xml:space="preserve">também </w:t>
      </w:r>
      <w:r w:rsidR="00755FDD" w:rsidRPr="00B962D7">
        <w:rPr>
          <w:rFonts w:ascii="Times New Roman" w:hAnsi="Times New Roman" w:cs="Times New Roman"/>
          <w:sz w:val="24"/>
          <w:lang w:eastAsia="en-US"/>
        </w:rPr>
        <w:t xml:space="preserve">destacam-se as planilhas de custo readequadas com o </w:t>
      </w:r>
      <w:r w:rsidR="00755FDD" w:rsidRPr="00B962D7">
        <w:rPr>
          <w:rFonts w:ascii="Times New Roman" w:hAnsi="Times New Roman" w:cs="Times New Roman"/>
          <w:sz w:val="24"/>
          <w:u w:val="single"/>
          <w:lang w:eastAsia="en-US"/>
        </w:rPr>
        <w:t>valor final ofertado</w:t>
      </w:r>
      <w:r w:rsidR="00755FDD" w:rsidRPr="00B962D7">
        <w:rPr>
          <w:rFonts w:ascii="Times New Roman" w:hAnsi="Times New Roman" w:cs="Times New Roman"/>
          <w:sz w:val="24"/>
          <w:lang w:eastAsia="en-US"/>
        </w:rPr>
        <w:t xml:space="preserve">, </w:t>
      </w:r>
      <w:r w:rsidR="00D265BD" w:rsidRPr="00B962D7">
        <w:rPr>
          <w:rFonts w:ascii="Times New Roman" w:hAnsi="Times New Roman" w:cs="Times New Roman"/>
          <w:sz w:val="24"/>
          <w:lang w:eastAsia="en-US"/>
        </w:rPr>
        <w:t>conforme modelo do Anexo VII</w:t>
      </w:r>
      <w:r w:rsidR="00755FDD" w:rsidRPr="00B962D7">
        <w:rPr>
          <w:rFonts w:ascii="Times New Roman" w:hAnsi="Times New Roman" w:cs="Times New Roman"/>
          <w:sz w:val="24"/>
          <w:lang w:eastAsia="en-US"/>
        </w:rPr>
        <w:t>.</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B962D7">
        <w:rPr>
          <w:rFonts w:ascii="Times New Roman" w:hAnsi="Times New Roman" w:cs="Times New Roman"/>
          <w:bCs/>
          <w:iCs/>
          <w:sz w:val="24"/>
        </w:rPr>
        <w:t>demais custos envolvidos</w:t>
      </w:r>
      <w:r w:rsidRPr="00B962D7">
        <w:rPr>
          <w:rFonts w:ascii="Times New Roman" w:hAnsi="Times New Roman" w:cs="Times New Roman"/>
          <w:bCs/>
          <w:iCs/>
          <w:sz w:val="24"/>
        </w:rPr>
        <w:t>;</w:t>
      </w:r>
    </w:p>
    <w:p w:rsidR="000C732E"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lastRenderedPageBreak/>
        <w:t>Erros de cálculo no preenchimento da planilha não constituem motivo para a desclassificação da proposta. A planilha poderá ser ajustada pelo licitante, no prazo indicado pelo Pregoeiro, desde que não haja majoração do preço proposto.</w:t>
      </w:r>
      <w:r w:rsidRPr="00B962D7">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943F1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color w:val="000000" w:themeColor="text1"/>
          <w:sz w:val="24"/>
          <w:lang w:eastAsia="en-US"/>
        </w:rPr>
        <w:t xml:space="preserve">Antes de formalizar a aceitação de uma proposta, </w:t>
      </w:r>
      <w:r w:rsidRPr="00943F13">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00943F13" w:rsidRPr="00943F13">
        <w:rPr>
          <w:rFonts w:ascii="Times New Roman" w:hAnsi="Times New Roman" w:cs="Times New Roman"/>
          <w:color w:val="000000" w:themeColor="text1"/>
          <w:sz w:val="24"/>
          <w:shd w:val="clear" w:color="auto" w:fill="FFFFFF"/>
        </w:rPr>
        <w:t>observado o critério de julgamento, não se admitindo negociar condições diferentes daquelas previstas no edital</w:t>
      </w:r>
      <w:r w:rsidR="00943F13" w:rsidRPr="00943F13">
        <w:rPr>
          <w:rFonts w:ascii="Times New Roman" w:hAnsi="Times New Roman" w:cs="Times New Roman"/>
          <w:color w:val="000000" w:themeColor="text1"/>
          <w:sz w:val="24"/>
          <w:lang w:eastAsia="en-US"/>
        </w:rPr>
        <w:t xml:space="preserve">, </w:t>
      </w:r>
      <w:r w:rsidRPr="00943F13">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6B62D8" w:rsidRPr="00517AF1" w:rsidRDefault="006B62D8" w:rsidP="006B62D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517AF1">
        <w:rPr>
          <w:rFonts w:ascii="Times New Roman" w:hAnsi="Times New Roman" w:cs="Times New Roman"/>
          <w:bCs/>
          <w:sz w:val="24"/>
        </w:rPr>
        <w:t xml:space="preserve">Com fulcro na Orientação Normativa SEGES/MPOG Nº 2, de 06 de Junho de 2016, Anexo II, alíneas 14 e 14.1, o Pregoeiro encaminhará à Autoridade Competente a relação daqueles Fornecedores cujas condutas estejam tipificadas pelo art. 7º da Lei nº </w:t>
      </w:r>
      <w:r w:rsidRPr="00517AF1">
        <w:rPr>
          <w:rFonts w:ascii="Times New Roman" w:hAnsi="Times New Roman" w:cs="Times New Roman"/>
          <w:bCs/>
          <w:sz w:val="24"/>
        </w:rPr>
        <w:lastRenderedPageBreak/>
        <w:t>10.520/2002, para que seja iniciado procedimento administrativo visando aplicação das penalidades previstas do citado artigo.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w:t>
      </w:r>
      <w:r w:rsidRPr="00D265BD">
        <w:rPr>
          <w:rFonts w:ascii="Times New Roman" w:hAnsi="Times New Roman" w:cs="Times New Roman"/>
          <w:sz w:val="24"/>
        </w:rPr>
        <w:lastRenderedPageBreak/>
        <w:t>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lastRenderedPageBreak/>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lastRenderedPageBreak/>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r w:rsidR="00317528">
        <w:rPr>
          <w:rFonts w:ascii="Times New Roman" w:hAnsi="Times New Roman" w:cs="Times New Roman"/>
          <w:sz w:val="24"/>
        </w:rPr>
        <w:t>, superiores a 1 (um)</w:t>
      </w:r>
      <w:r w:rsidR="00451B0C" w:rsidRPr="00D265BD">
        <w:rPr>
          <w:rFonts w:ascii="Times New Roman" w:hAnsi="Times New Roman" w:cs="Times New Roman"/>
          <w:sz w:val="24"/>
        </w:rPr>
        <w:t>:</w:t>
      </w:r>
    </w:p>
    <w:p w:rsidR="0063138C" w:rsidRPr="00D265BD" w:rsidRDefault="0063138C" w:rsidP="00317528">
      <w:pPr>
        <w:pStyle w:val="PargrafodaLista"/>
        <w:tabs>
          <w:tab w:val="left" w:pos="1418"/>
        </w:tabs>
        <w:snapToGrid w:val="0"/>
        <w:spacing w:line="360" w:lineRule="auto"/>
        <w:ind w:left="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LC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962D7">
        <w:rPr>
          <w:rFonts w:ascii="Times New Roman" w:hAnsi="Times New Roman" w:cs="Times New Roman"/>
          <w:bCs/>
          <w:sz w:val="24"/>
        </w:rPr>
        <w:lastRenderedPageBreak/>
        <w:t xml:space="preserve">Comprovação de patrimônio líquido de </w:t>
      </w:r>
      <w:r w:rsidRPr="00B962D7">
        <w:rPr>
          <w:rFonts w:ascii="Times New Roman" w:hAnsi="Times New Roman" w:cs="Times New Roman"/>
          <w:b/>
          <w:bCs/>
          <w:sz w:val="24"/>
        </w:rPr>
        <w:t>10% (dez por cento)</w:t>
      </w:r>
      <w:r w:rsidRPr="00B962D7">
        <w:rPr>
          <w:rFonts w:ascii="Times New Roman" w:hAnsi="Times New Roman" w:cs="Times New Roman"/>
          <w:bCs/>
          <w:sz w:val="24"/>
        </w:rPr>
        <w:t xml:space="preserve"> do valor estimado da contratação, por meio</w:t>
      </w:r>
      <w:r w:rsidRPr="00305B6C">
        <w:rPr>
          <w:rFonts w:ascii="Times New Roman" w:hAnsi="Times New Roman" w:cs="Times New Roman"/>
          <w:bCs/>
          <w:sz w:val="24"/>
        </w:rPr>
        <w:t xml:space="preserve">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w:t>
      </w:r>
      <w:r w:rsidR="00317528">
        <w:rPr>
          <w:rFonts w:ascii="Times New Roman" w:hAnsi="Times New Roman" w:cs="Times New Roman"/>
          <w:bCs/>
          <w:sz w:val="24"/>
        </w:rPr>
        <w:t xml:space="preserve"> </w:t>
      </w:r>
      <w:r w:rsidR="00440676" w:rsidRPr="00D265BD">
        <w:rPr>
          <w:rFonts w:ascii="Times New Roman" w:hAnsi="Times New Roman" w:cs="Times New Roman"/>
          <w:bCs/>
          <w:sz w:val="24"/>
        </w:rPr>
        <w:t>(um)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517AF1"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517AF1">
        <w:rPr>
          <w:rFonts w:ascii="Times New Roman" w:hAnsi="Times New Roman" w:cs="Times New Roman"/>
          <w:bCs/>
          <w:sz w:val="24"/>
        </w:rPr>
        <w:t>Prova de atendimento aos requisitos mínimos de padrão de qualidade</w:t>
      </w:r>
      <w:r w:rsidR="00BC033C" w:rsidRPr="00517AF1">
        <w:rPr>
          <w:rFonts w:ascii="Times New Roman" w:hAnsi="Times New Roman" w:cs="Times New Roman"/>
          <w:bCs/>
          <w:sz w:val="24"/>
        </w:rPr>
        <w:t xml:space="preserve"> (exigidos por lei)</w:t>
      </w:r>
      <w:r w:rsidRPr="00517AF1">
        <w:rPr>
          <w:rFonts w:ascii="Times New Roman" w:hAnsi="Times New Roman" w:cs="Times New Roman"/>
          <w:bCs/>
          <w:sz w:val="24"/>
        </w:rPr>
        <w:t xml:space="preserve"> impostos </w:t>
      </w:r>
      <w:r w:rsidR="003376B6" w:rsidRPr="00517AF1">
        <w:rPr>
          <w:rFonts w:ascii="Times New Roman" w:hAnsi="Times New Roman" w:cs="Times New Roman"/>
          <w:bCs/>
          <w:sz w:val="24"/>
        </w:rPr>
        <w:t>nos itens</w:t>
      </w:r>
      <w:r w:rsidRPr="00517AF1">
        <w:rPr>
          <w:rFonts w:ascii="Times New Roman" w:hAnsi="Times New Roman" w:cs="Times New Roman"/>
          <w:bCs/>
          <w:sz w:val="24"/>
        </w:rPr>
        <w:t xml:space="preserve"> </w:t>
      </w:r>
      <w:r w:rsidR="003376B6" w:rsidRPr="00517AF1">
        <w:rPr>
          <w:rFonts w:ascii="Times New Roman" w:hAnsi="Times New Roman" w:cs="Times New Roman"/>
          <w:bCs/>
          <w:sz w:val="24"/>
        </w:rPr>
        <w:t>objeto desta licitação</w:t>
      </w:r>
      <w:r w:rsidRPr="00517AF1">
        <w:rPr>
          <w:rFonts w:ascii="Times New Roman" w:hAnsi="Times New Roman" w:cs="Times New Roman"/>
          <w:bCs/>
          <w:sz w:val="24"/>
        </w:rPr>
        <w:t>, tais como padrões e exigências d</w:t>
      </w:r>
      <w:r w:rsidR="00305B6C" w:rsidRPr="00517AF1">
        <w:rPr>
          <w:rFonts w:ascii="Times New Roman" w:hAnsi="Times New Roman" w:cs="Times New Roman"/>
          <w:bCs/>
          <w:sz w:val="24"/>
        </w:rPr>
        <w:t>o</w:t>
      </w:r>
      <w:r w:rsidRPr="00517AF1">
        <w:rPr>
          <w:rFonts w:ascii="Times New Roman" w:hAnsi="Times New Roman" w:cs="Times New Roman"/>
          <w:bCs/>
          <w:sz w:val="24"/>
        </w:rPr>
        <w:t xml:space="preserve"> INMETRO (Instituto </w:t>
      </w:r>
      <w:r w:rsidR="003376B6" w:rsidRPr="00517AF1">
        <w:rPr>
          <w:rFonts w:ascii="Times New Roman" w:hAnsi="Times New Roman" w:cs="Times New Roman"/>
          <w:bCs/>
          <w:sz w:val="24"/>
        </w:rPr>
        <w:t xml:space="preserve">Nacional </w:t>
      </w:r>
      <w:r w:rsidRPr="00517AF1">
        <w:rPr>
          <w:rFonts w:ascii="Times New Roman" w:hAnsi="Times New Roman" w:cs="Times New Roman"/>
          <w:bCs/>
          <w:sz w:val="24"/>
        </w:rPr>
        <w:t xml:space="preserve">de Metrologia, </w:t>
      </w:r>
      <w:r w:rsidR="00D357F7" w:rsidRPr="00517AF1">
        <w:rPr>
          <w:rFonts w:ascii="Times New Roman" w:hAnsi="Times New Roman" w:cs="Times New Roman"/>
          <w:bCs/>
          <w:sz w:val="24"/>
        </w:rPr>
        <w:t>Qualidade e Tecnologia</w:t>
      </w:r>
      <w:r w:rsidRPr="00517AF1">
        <w:rPr>
          <w:rFonts w:ascii="Times New Roman" w:hAnsi="Times New Roman" w:cs="Times New Roman"/>
          <w:bCs/>
          <w:sz w:val="24"/>
        </w:rPr>
        <w:t>)</w:t>
      </w:r>
      <w:r w:rsidR="00702E17" w:rsidRPr="00517AF1">
        <w:rPr>
          <w:rFonts w:ascii="Times New Roman" w:hAnsi="Times New Roman" w:cs="Times New Roman"/>
          <w:bCs/>
          <w:sz w:val="24"/>
        </w:rPr>
        <w:t>, ABNT (Associação Brasileira de Normas Técnicas), dentre outros</w:t>
      </w:r>
      <w:r w:rsidR="003376B6" w:rsidRPr="00517AF1">
        <w:rPr>
          <w:rFonts w:ascii="Times New Roman" w:hAnsi="Times New Roman" w:cs="Times New Roman"/>
          <w:bCs/>
          <w:sz w:val="24"/>
        </w:rPr>
        <w:t xml:space="preserve">, </w:t>
      </w:r>
      <w:r w:rsidR="00ED38BD" w:rsidRPr="00517AF1">
        <w:rPr>
          <w:rFonts w:ascii="Times New Roman" w:hAnsi="Times New Roman" w:cs="Times New Roman"/>
          <w:bCs/>
          <w:sz w:val="24"/>
        </w:rPr>
        <w:t>no que</w:t>
      </w:r>
      <w:r w:rsidR="003376B6" w:rsidRPr="00517AF1">
        <w:rPr>
          <w:rFonts w:ascii="Times New Roman" w:hAnsi="Times New Roman" w:cs="Times New Roman"/>
          <w:bCs/>
          <w:sz w:val="24"/>
        </w:rPr>
        <w:t xml:space="preserve"> couber.</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xml:space="preserve">. Neste caso, a CPL-PU </w:t>
      </w:r>
      <w:r w:rsidRPr="00D265BD">
        <w:rPr>
          <w:rFonts w:ascii="Times New Roman" w:hAnsi="Times New Roman" w:cs="Times New Roman"/>
          <w:bCs/>
          <w:sz w:val="24"/>
        </w:rPr>
        <w:lastRenderedPageBreak/>
        <w:t>disponibilizará em sua página na internet, aos interessados e ao público em geral, cópia escaneada da documentação enviada.</w:t>
      </w:r>
    </w:p>
    <w:p w:rsidR="0026179F" w:rsidRPr="00702E17" w:rsidRDefault="00A9554E"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lastRenderedPageBreak/>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lastRenderedPageBreak/>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B962D7"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 xml:space="preserve">apresentar a planilha de custos e formação de preços, devidamente ajustada ao lance vencedor, em conformidade com o modelo </w:t>
      </w:r>
      <w:r w:rsidR="009D3591" w:rsidRPr="00B962D7">
        <w:rPr>
          <w:rFonts w:ascii="Times New Roman" w:hAnsi="Times New Roman" w:cs="Times New Roman"/>
          <w:sz w:val="24"/>
        </w:rPr>
        <w:t xml:space="preserve">do </w:t>
      </w:r>
      <w:r w:rsidR="009D3591" w:rsidRPr="00B962D7">
        <w:rPr>
          <w:rFonts w:ascii="Times New Roman" w:hAnsi="Times New Roman" w:cs="Times New Roman"/>
          <w:b/>
          <w:sz w:val="24"/>
        </w:rPr>
        <w:t>A</w:t>
      </w:r>
      <w:r w:rsidRPr="00B962D7">
        <w:rPr>
          <w:rFonts w:ascii="Times New Roman" w:hAnsi="Times New Roman" w:cs="Times New Roman"/>
          <w:b/>
          <w:sz w:val="24"/>
        </w:rPr>
        <w:t xml:space="preserve">nexo </w:t>
      </w:r>
      <w:r w:rsidR="009D3591" w:rsidRPr="00B962D7">
        <w:rPr>
          <w:rFonts w:ascii="Times New Roman" w:hAnsi="Times New Roman" w:cs="Times New Roman"/>
          <w:b/>
          <w:sz w:val="24"/>
        </w:rPr>
        <w:t xml:space="preserve">VII </w:t>
      </w:r>
      <w:r w:rsidR="009D3591" w:rsidRPr="00B962D7">
        <w:rPr>
          <w:rFonts w:ascii="Times New Roman" w:hAnsi="Times New Roman" w:cs="Times New Roman"/>
          <w:sz w:val="24"/>
        </w:rPr>
        <w:t>de</w:t>
      </w:r>
      <w:r w:rsidRPr="00B962D7">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conter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517AF1"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517AF1">
        <w:rPr>
          <w:rFonts w:ascii="Times New Roman" w:hAnsi="Times New Roman" w:cs="Times New Roman"/>
          <w:color w:val="auto"/>
          <w:sz w:val="24"/>
          <w:szCs w:val="24"/>
          <w:lang w:eastAsia="en-US"/>
        </w:rPr>
        <w:t>DOS RECURSOS</w:t>
      </w:r>
    </w:p>
    <w:p w:rsidR="006B62D8" w:rsidRPr="00517AF1" w:rsidRDefault="006B62D8" w:rsidP="006B62D8">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517AF1">
        <w:rPr>
          <w:rFonts w:ascii="Times New Roman" w:hAnsi="Times New Roman" w:cs="Times New Roman"/>
          <w:sz w:val="24"/>
          <w:lang w:eastAsia="en-US"/>
        </w:rPr>
        <w:t>O Pregoeiro declarará o vencedor e, depois de decorr</w:t>
      </w:r>
      <w:r w:rsidRPr="00517AF1">
        <w:rPr>
          <w:rFonts w:ascii="Times New Roman" w:hAnsi="Times New Roman" w:cs="Times New Roman"/>
          <w:sz w:val="24"/>
        </w:rPr>
        <w:t xml:space="preserve">ida a </w:t>
      </w:r>
      <w:r w:rsidRPr="00517AF1">
        <w:rPr>
          <w:rFonts w:ascii="Times New Roman" w:hAnsi="Times New Roman" w:cs="Times New Roman"/>
          <w:sz w:val="24"/>
          <w:lang w:eastAsia="en-US"/>
        </w:rPr>
        <w:t xml:space="preserve">fase de regularização fiscal de microempresa ou empresa de pequeno porte, se for o caso, concederá, </w:t>
      </w:r>
      <w:r w:rsidRPr="00517AF1">
        <w:rPr>
          <w:rFonts w:ascii="Times New Roman" w:hAnsi="Times New Roman" w:cs="Times New Roman"/>
          <w:b/>
          <w:sz w:val="24"/>
          <w:lang w:eastAsia="en-US"/>
        </w:rPr>
        <w:t xml:space="preserve">nos moldes do Acórdão nº 1990/2008 do TCU – Plenário, o </w:t>
      </w:r>
      <w:r w:rsidRPr="00517AF1">
        <w:rPr>
          <w:rFonts w:ascii="Times New Roman" w:hAnsi="Times New Roman" w:cs="Times New Roman"/>
          <w:b/>
          <w:sz w:val="24"/>
        </w:rPr>
        <w:t>prazo de no mínimo 30 (trinta) minutos,</w:t>
      </w:r>
      <w:r w:rsidRPr="00517AF1">
        <w:rPr>
          <w:rFonts w:ascii="Times New Roman" w:hAnsi="Times New Roman" w:cs="Times New Roman"/>
          <w:sz w:val="24"/>
        </w:rPr>
        <w:t xml:space="preserve"> </w:t>
      </w:r>
      <w:r w:rsidRPr="00517AF1">
        <w:rPr>
          <w:rFonts w:ascii="Times New Roman" w:hAnsi="Times New Roman" w:cs="Times New Roman"/>
          <w:b/>
          <w:sz w:val="24"/>
        </w:rPr>
        <w:t>para que qualquer licitante manifeste a intenção de recorrer,</w:t>
      </w:r>
      <w:r w:rsidRPr="00517AF1">
        <w:rPr>
          <w:rFonts w:ascii="Times New Roman" w:hAnsi="Times New Roman" w:cs="Times New Roman"/>
          <w:sz w:val="24"/>
        </w:rPr>
        <w:t xml:space="preserve"> de forma motivada, isto é, indicando contra qual(is) decisão(ões)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w:t>
      </w:r>
      <w:r w:rsidRPr="00D265BD">
        <w:rPr>
          <w:rFonts w:ascii="Times New Roman" w:hAnsi="Times New Roman" w:cs="Times New Roman"/>
          <w:bCs/>
          <w:iCs/>
          <w:sz w:val="24"/>
        </w:rPr>
        <w:lastRenderedPageBreak/>
        <w:t xml:space="preserve">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prejuízos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lastRenderedPageBreak/>
        <w:t>prejuízos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multas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no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B962D7"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prazo de validade da </w:t>
      </w:r>
      <w:r w:rsidR="00B962D7">
        <w:rPr>
          <w:rFonts w:ascii="Times New Roman" w:hAnsi="Times New Roman" w:cs="Times New Roman"/>
          <w:sz w:val="24"/>
        </w:rPr>
        <w:t>A</w:t>
      </w:r>
      <w:r w:rsidRPr="00B962D7">
        <w:rPr>
          <w:rFonts w:ascii="Times New Roman" w:hAnsi="Times New Roman" w:cs="Times New Roman"/>
          <w:sz w:val="24"/>
        </w:rPr>
        <w:t xml:space="preserve">ta de </w:t>
      </w:r>
      <w:r w:rsidR="00B962D7">
        <w:rPr>
          <w:rFonts w:ascii="Times New Roman" w:hAnsi="Times New Roman" w:cs="Times New Roman"/>
          <w:sz w:val="24"/>
        </w:rPr>
        <w:t>R</w:t>
      </w:r>
      <w:r w:rsidRPr="00B962D7">
        <w:rPr>
          <w:rFonts w:ascii="Times New Roman" w:hAnsi="Times New Roman" w:cs="Times New Roman"/>
          <w:sz w:val="24"/>
        </w:rPr>
        <w:t xml:space="preserve">egistro de </w:t>
      </w:r>
      <w:r w:rsidR="00B962D7">
        <w:rPr>
          <w:rFonts w:ascii="Times New Roman" w:hAnsi="Times New Roman" w:cs="Times New Roman"/>
          <w:sz w:val="24"/>
        </w:rPr>
        <w:t>P</w:t>
      </w:r>
      <w:r w:rsidRPr="00B962D7">
        <w:rPr>
          <w:rFonts w:ascii="Times New Roman" w:hAnsi="Times New Roman" w:cs="Times New Roman"/>
          <w:sz w:val="24"/>
        </w:rPr>
        <w:t xml:space="preserve">reços não será superior a doze meses, </w:t>
      </w:r>
      <w:r w:rsidR="00B962D7" w:rsidRPr="00B962D7">
        <w:rPr>
          <w:rFonts w:ascii="Times New Roman" w:hAnsi="Times New Roman" w:cs="Times New Roman"/>
          <w:sz w:val="24"/>
        </w:rPr>
        <w:t>não podendo ser prorrogada</w:t>
      </w:r>
      <w:r w:rsidR="00E824F5" w:rsidRPr="00B962D7">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lastRenderedPageBreak/>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265BD">
        <w:rPr>
          <w:rFonts w:ascii="Times New Roman" w:hAnsi="Times New Roman" w:cs="Times New Roman"/>
          <w:sz w:val="24"/>
        </w:rPr>
        <w:t>dital e anexos.</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55201">
        <w:rPr>
          <w:rFonts w:ascii="Times New Roman" w:hAnsi="Times New Roman" w:cs="Times New Roman"/>
          <w:sz w:val="24"/>
        </w:rPr>
        <w:t>dital e anexos.</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lastRenderedPageBreak/>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lastRenderedPageBreak/>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lastRenderedPageBreak/>
        <w:t>O licitante/adjudicatário que cometer qualquer das infrações discriminadas no subitem anterior ficará sujeito, sem prejuízo da responsabilidade civil e criminal, às seguintes sanções:</w:t>
      </w:r>
    </w:p>
    <w:p w:rsidR="000F104D" w:rsidRPr="00517AF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517AF1">
        <w:rPr>
          <w:rFonts w:ascii="Times New Roman" w:hAnsi="Times New Roman" w:cs="Times New Roman"/>
          <w:sz w:val="24"/>
          <w:shd w:val="clear" w:color="auto" w:fill="FFFFFF"/>
        </w:rPr>
        <w:t xml:space="preserve">Multa de </w:t>
      </w:r>
      <w:r w:rsidR="001809B9" w:rsidRPr="00517AF1">
        <w:rPr>
          <w:rFonts w:ascii="Times New Roman" w:hAnsi="Times New Roman" w:cs="Times New Roman"/>
          <w:sz w:val="24"/>
          <w:shd w:val="clear" w:color="auto" w:fill="FFFFFF"/>
        </w:rPr>
        <w:t xml:space="preserve">até </w:t>
      </w:r>
      <w:r w:rsidR="00ED38BD" w:rsidRPr="00517AF1">
        <w:rPr>
          <w:rFonts w:ascii="Times New Roman" w:hAnsi="Times New Roman" w:cs="Times New Roman"/>
          <w:sz w:val="24"/>
          <w:shd w:val="clear" w:color="auto" w:fill="FFFFFF"/>
        </w:rPr>
        <w:t>1</w:t>
      </w:r>
      <w:r w:rsidR="001809B9" w:rsidRPr="00517AF1">
        <w:rPr>
          <w:rFonts w:ascii="Times New Roman" w:hAnsi="Times New Roman" w:cs="Times New Roman"/>
          <w:sz w:val="24"/>
          <w:shd w:val="clear" w:color="auto" w:fill="FFFFFF"/>
        </w:rPr>
        <w:t>0% (</w:t>
      </w:r>
      <w:r w:rsidR="00ED38BD" w:rsidRPr="00517AF1">
        <w:rPr>
          <w:rFonts w:ascii="Times New Roman" w:hAnsi="Times New Roman" w:cs="Times New Roman"/>
          <w:sz w:val="24"/>
          <w:shd w:val="clear" w:color="auto" w:fill="FFFFFF"/>
        </w:rPr>
        <w:t>dez</w:t>
      </w:r>
      <w:r w:rsidR="001809B9" w:rsidRPr="00517AF1">
        <w:rPr>
          <w:rFonts w:ascii="Times New Roman" w:hAnsi="Times New Roman" w:cs="Times New Roman"/>
          <w:sz w:val="24"/>
          <w:shd w:val="clear" w:color="auto" w:fill="FFFFFF"/>
        </w:rPr>
        <w:t xml:space="preserve"> por cento)</w:t>
      </w:r>
      <w:r w:rsidRPr="00517AF1">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43F13"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43F13">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942B68" w:rsidRDefault="00942B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2B68">
        <w:rPr>
          <w:rFonts w:ascii="Times New Roman" w:hAnsi="Times New Roman" w:cs="Times New Roman"/>
          <w:color w:val="000000"/>
          <w:sz w:val="24"/>
        </w:rPr>
        <w:t>Caberá ao pregoeiro, auxiliado pelo setor responsável pela elaboração do edital, decidir sobre a impugnação no prazo de até vinte e quatro horas</w:t>
      </w:r>
      <w:r>
        <w:rPr>
          <w:rFonts w:ascii="Times New Roman" w:hAnsi="Times New Roman" w:cs="Times New Roman"/>
          <w:color w:val="000000"/>
          <w:sz w:val="24"/>
        </w:rPr>
        <w:t xml:space="preserve"> (art. 18, §2º do Decreto nº 5.450/05).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354BC2" w:rsidRPr="00943F13" w:rsidRDefault="00354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O pregoeiro responderá a todos os pedidos de esclarecimentos e recursos de impugnação através do Portal de Compras Governamentais (Comprasnet), na aba “Impugnações/Esclarecimentos/Avisos”, tornando disponível a todos os interessados. </w:t>
      </w:r>
    </w:p>
    <w:p w:rsidR="000F104D" w:rsidRPr="00943F13"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As respostas às impugnações e os esclarecimentos prestados pelo </w:t>
      </w:r>
      <w:r w:rsidR="00E17E25" w:rsidRPr="00943F13">
        <w:rPr>
          <w:rFonts w:ascii="Times New Roman" w:hAnsi="Times New Roman" w:cs="Times New Roman"/>
          <w:sz w:val="24"/>
        </w:rPr>
        <w:t>Pregoeiro</w:t>
      </w:r>
      <w:r w:rsidRPr="00943F13">
        <w:rPr>
          <w:rFonts w:ascii="Times New Roman" w:hAnsi="Times New Roman" w:cs="Times New Roman"/>
          <w:sz w:val="24"/>
        </w:rPr>
        <w:t xml:space="preserve"> serão entranhados nos autos do processo licitatório e estarão disponíveis para consulta por qualquer interessado.</w:t>
      </w:r>
    </w:p>
    <w:p w:rsidR="00376419" w:rsidRPr="00943F13"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43F13">
        <w:rPr>
          <w:rFonts w:ascii="Times New Roman" w:hAnsi="Times New Roman" w:cs="Times New Roman"/>
          <w:sz w:val="24"/>
        </w:rPr>
        <w:t xml:space="preserve">Informações de ordem técnica poderão ser obtidas junto à </w:t>
      </w:r>
      <w:r w:rsidR="00354BC2" w:rsidRPr="00943F13">
        <w:rPr>
          <w:rFonts w:ascii="Times New Roman" w:hAnsi="Times New Roman" w:cs="Times New Roman"/>
          <w:sz w:val="24"/>
        </w:rPr>
        <w:t>Divisão de Serviços Gerais</w:t>
      </w:r>
      <w:r w:rsidRPr="00943F13">
        <w:rPr>
          <w:rFonts w:ascii="Times New Roman" w:hAnsi="Times New Roman" w:cs="Times New Roman"/>
          <w:sz w:val="24"/>
        </w:rPr>
        <w:t xml:space="preserve">, na pessoa do Sr. </w:t>
      </w:r>
      <w:r w:rsidR="00354BC2" w:rsidRPr="00943F13">
        <w:rPr>
          <w:rFonts w:ascii="Times New Roman" w:hAnsi="Times New Roman" w:cs="Times New Roman"/>
          <w:sz w:val="24"/>
        </w:rPr>
        <w:t>Amauri de Souza Félix</w:t>
      </w:r>
      <w:r w:rsidRPr="00943F13">
        <w:rPr>
          <w:rFonts w:ascii="Times New Roman" w:hAnsi="Times New Roman" w:cs="Times New Roman"/>
          <w:sz w:val="24"/>
        </w:rPr>
        <w:t>, pelo telefone: (83) 3216-</w:t>
      </w:r>
      <w:r w:rsidR="00943F13" w:rsidRPr="00943F13">
        <w:rPr>
          <w:rFonts w:ascii="Times New Roman" w:hAnsi="Times New Roman" w:cs="Times New Roman"/>
          <w:sz w:val="24"/>
        </w:rPr>
        <w:t>7256</w:t>
      </w:r>
      <w:r w:rsidR="004A3D89" w:rsidRPr="00943F13">
        <w:rPr>
          <w:rFonts w:ascii="Times New Roman" w:hAnsi="Times New Roman" w:cs="Times New Roman"/>
          <w:sz w:val="24"/>
        </w:rPr>
        <w:t>.</w:t>
      </w:r>
      <w:r w:rsidRPr="00943F13">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lastRenderedPageBreak/>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Na contagem dos prazos estabelecidos neste Edital e seus </w:t>
      </w:r>
      <w:r w:rsidR="00BC033C">
        <w:rPr>
          <w:rFonts w:ascii="Times New Roman" w:hAnsi="Times New Roman" w:cs="Times New Roman"/>
          <w:sz w:val="24"/>
        </w:rPr>
        <w:t>a</w:t>
      </w:r>
      <w:r w:rsidRPr="00D265BD">
        <w:rPr>
          <w:rFonts w:ascii="Times New Roman" w:hAnsi="Times New Roman" w:cs="Times New Roman"/>
          <w:sz w:val="24"/>
        </w:rPr>
        <w:t>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517AF1"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517AF1">
        <w:rPr>
          <w:rFonts w:ascii="Times New Roman" w:hAnsi="Times New Roman" w:cs="Times New Roman"/>
          <w:sz w:val="24"/>
        </w:rPr>
        <w:t>Integram este Edital, para todos os fins e efeitos, os seguintes anexos:</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 – Termo de Referência;</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II – Minuta de Ata de Registro de Preços;</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III –</w:t>
      </w:r>
      <w:r w:rsidR="00F277F5" w:rsidRPr="00517AF1">
        <w:rPr>
          <w:rFonts w:ascii="Times New Roman" w:hAnsi="Times New Roman" w:cs="Times New Roman"/>
          <w:sz w:val="24"/>
        </w:rPr>
        <w:t xml:space="preserve"> Declarações</w:t>
      </w:r>
      <w:r w:rsidRPr="00517AF1">
        <w:rPr>
          <w:rFonts w:ascii="Times New Roman" w:hAnsi="Times New Roman" w:cs="Times New Roman"/>
          <w:sz w:val="24"/>
        </w:rPr>
        <w:t>;</w:t>
      </w:r>
    </w:p>
    <w:p w:rsidR="00550520" w:rsidRPr="00517AF1"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IV – Declaração de Conhecimento dos Locais e Dificuldades do Serviço/Entrega do</w:t>
      </w:r>
      <w:r w:rsidR="00C724E8" w:rsidRPr="00517AF1">
        <w:rPr>
          <w:rFonts w:ascii="Times New Roman" w:hAnsi="Times New Roman" w:cs="Times New Roman"/>
          <w:sz w:val="24"/>
        </w:rPr>
        <w:t>(</w:t>
      </w:r>
      <w:r w:rsidRPr="00517AF1">
        <w:rPr>
          <w:rFonts w:ascii="Times New Roman" w:hAnsi="Times New Roman" w:cs="Times New Roman"/>
          <w:sz w:val="24"/>
        </w:rPr>
        <w:t>s</w:t>
      </w:r>
      <w:r w:rsidR="00C724E8" w:rsidRPr="00517AF1">
        <w:rPr>
          <w:rFonts w:ascii="Times New Roman" w:hAnsi="Times New Roman" w:cs="Times New Roman"/>
          <w:sz w:val="24"/>
        </w:rPr>
        <w:t>)</w:t>
      </w:r>
      <w:r w:rsidRPr="00517AF1">
        <w:rPr>
          <w:rFonts w:ascii="Times New Roman" w:hAnsi="Times New Roman" w:cs="Times New Roman"/>
          <w:sz w:val="24"/>
        </w:rPr>
        <w:t xml:space="preserve"> Be</w:t>
      </w:r>
      <w:r w:rsidR="00C724E8" w:rsidRPr="00517AF1">
        <w:rPr>
          <w:rFonts w:ascii="Times New Roman" w:hAnsi="Times New Roman" w:cs="Times New Roman"/>
          <w:sz w:val="24"/>
        </w:rPr>
        <w:t>m(</w:t>
      </w:r>
      <w:r w:rsidRPr="00517AF1">
        <w:rPr>
          <w:rFonts w:ascii="Times New Roman" w:hAnsi="Times New Roman" w:cs="Times New Roman"/>
          <w:sz w:val="24"/>
        </w:rPr>
        <w:t>ns</w:t>
      </w:r>
      <w:r w:rsidR="00C724E8" w:rsidRPr="00517AF1">
        <w:rPr>
          <w:rFonts w:ascii="Times New Roman" w:hAnsi="Times New Roman" w:cs="Times New Roman"/>
          <w:sz w:val="24"/>
        </w:rPr>
        <w:t>)</w:t>
      </w:r>
      <w:r w:rsidR="00550520" w:rsidRPr="00517AF1">
        <w:rPr>
          <w:rFonts w:ascii="Times New Roman" w:hAnsi="Times New Roman" w:cs="Times New Roman"/>
          <w:sz w:val="24"/>
        </w:rPr>
        <w:t>;</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V – </w:t>
      </w:r>
      <w:r w:rsidR="00F277F5" w:rsidRPr="00517AF1">
        <w:rPr>
          <w:rFonts w:ascii="Times New Roman" w:hAnsi="Times New Roman" w:cs="Times New Roman"/>
          <w:sz w:val="24"/>
        </w:rPr>
        <w:t>Minuta de Termo de Contrato</w:t>
      </w:r>
      <w:r w:rsidRPr="00517AF1">
        <w:rPr>
          <w:rFonts w:ascii="Times New Roman" w:hAnsi="Times New Roman" w:cs="Times New Roman"/>
          <w:sz w:val="24"/>
        </w:rPr>
        <w:t>;</w:t>
      </w:r>
    </w:p>
    <w:p w:rsidR="00550520" w:rsidRPr="00517AF1"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 xml:space="preserve">ANEXO VI – </w:t>
      </w:r>
      <w:r w:rsidR="00F277F5" w:rsidRPr="00517AF1">
        <w:rPr>
          <w:rFonts w:ascii="Times New Roman" w:hAnsi="Times New Roman" w:cs="Times New Roman"/>
          <w:sz w:val="24"/>
        </w:rPr>
        <w:t>Modelo de Carta-Proposta;</w:t>
      </w:r>
    </w:p>
    <w:p w:rsidR="00B962D7" w:rsidRPr="00517AF1" w:rsidRDefault="00B962D7" w:rsidP="009756B3">
      <w:pPr>
        <w:numPr>
          <w:ilvl w:val="2"/>
          <w:numId w:val="33"/>
        </w:numPr>
        <w:tabs>
          <w:tab w:val="left" w:pos="1418"/>
        </w:tabs>
        <w:spacing w:line="360" w:lineRule="auto"/>
        <w:ind w:left="0" w:firstLine="0"/>
        <w:jc w:val="both"/>
        <w:rPr>
          <w:rFonts w:ascii="Times New Roman" w:hAnsi="Times New Roman" w:cs="Times New Roman"/>
          <w:sz w:val="24"/>
        </w:rPr>
      </w:pPr>
      <w:r w:rsidRPr="00517AF1">
        <w:rPr>
          <w:rFonts w:ascii="Times New Roman" w:hAnsi="Times New Roman" w:cs="Times New Roman"/>
          <w:sz w:val="24"/>
        </w:rPr>
        <w:t>ANEXO VII – Planilha de Formação de Preços.</w:t>
      </w:r>
    </w:p>
    <w:p w:rsidR="00F277F5" w:rsidRPr="00B962D7" w:rsidRDefault="00F277F5" w:rsidP="00C724E8">
      <w:pPr>
        <w:tabs>
          <w:tab w:val="left" w:pos="1418"/>
        </w:tabs>
        <w:spacing w:line="360" w:lineRule="auto"/>
        <w:jc w:val="both"/>
        <w:rPr>
          <w:rFonts w:ascii="Times New Roman" w:hAnsi="Times New Roman" w:cs="Times New Roman"/>
          <w:sz w:val="24"/>
        </w:rPr>
      </w:pPr>
    </w:p>
    <w:p w:rsidR="00F277F5" w:rsidRPr="007F4003" w:rsidRDefault="00F277F5" w:rsidP="009756B3">
      <w:pPr>
        <w:tabs>
          <w:tab w:val="left" w:pos="1418"/>
        </w:tabs>
        <w:spacing w:line="360" w:lineRule="auto"/>
        <w:ind w:right="-15"/>
        <w:jc w:val="center"/>
        <w:rPr>
          <w:rFonts w:ascii="Times New Roman" w:hAnsi="Times New Roman" w:cs="Times New Roman"/>
          <w:b/>
          <w:sz w:val="24"/>
        </w:rPr>
      </w:pPr>
      <w:r w:rsidRPr="008C48AC">
        <w:rPr>
          <w:rFonts w:ascii="Times New Roman" w:hAnsi="Times New Roman" w:cs="Times New Roman"/>
          <w:b/>
          <w:sz w:val="24"/>
        </w:rPr>
        <w:t xml:space="preserve">João Pessoa – PB, </w:t>
      </w:r>
      <w:r w:rsidR="008C48AC" w:rsidRPr="008C48AC">
        <w:rPr>
          <w:rFonts w:ascii="Times New Roman" w:hAnsi="Times New Roman" w:cs="Times New Roman"/>
          <w:b/>
          <w:sz w:val="24"/>
        </w:rPr>
        <w:t>2</w:t>
      </w:r>
      <w:r w:rsidR="00974049" w:rsidRPr="008C48AC">
        <w:rPr>
          <w:rFonts w:ascii="Times New Roman" w:hAnsi="Times New Roman" w:cs="Times New Roman"/>
          <w:b/>
          <w:sz w:val="24"/>
        </w:rPr>
        <w:t>0</w:t>
      </w:r>
      <w:r w:rsidRPr="008C48AC">
        <w:rPr>
          <w:rFonts w:ascii="Times New Roman" w:hAnsi="Times New Roman" w:cs="Times New Roman"/>
          <w:b/>
          <w:sz w:val="24"/>
        </w:rPr>
        <w:t xml:space="preserve"> de </w:t>
      </w:r>
      <w:r w:rsidR="008C48AC" w:rsidRPr="008C48AC">
        <w:rPr>
          <w:rFonts w:ascii="Times New Roman" w:hAnsi="Times New Roman" w:cs="Times New Roman"/>
          <w:b/>
          <w:sz w:val="24"/>
        </w:rPr>
        <w:t>março</w:t>
      </w:r>
      <w:r w:rsidRPr="008C48AC">
        <w:rPr>
          <w:rFonts w:ascii="Times New Roman" w:hAnsi="Times New Roman" w:cs="Times New Roman"/>
          <w:b/>
          <w:sz w:val="24"/>
        </w:rPr>
        <w:t xml:space="preserve"> de 201</w:t>
      </w:r>
      <w:r w:rsidR="00974049" w:rsidRPr="008C48AC">
        <w:rPr>
          <w:rFonts w:ascii="Times New Roman" w:hAnsi="Times New Roman" w:cs="Times New Roman"/>
          <w:b/>
          <w:sz w:val="24"/>
        </w:rPr>
        <w:t>7</w:t>
      </w:r>
      <w:r w:rsidRPr="008C48AC">
        <w:rPr>
          <w:rFonts w:ascii="Times New Roman" w:hAnsi="Times New Roman" w:cs="Times New Roman"/>
          <w:b/>
          <w:sz w:val="24"/>
        </w:rPr>
        <w:t>.</w:t>
      </w:r>
    </w:p>
    <w:p w:rsidR="00F277F5" w:rsidRPr="007F4003" w:rsidRDefault="00F277F5" w:rsidP="008251A4">
      <w:pPr>
        <w:tabs>
          <w:tab w:val="left" w:pos="1418"/>
        </w:tabs>
        <w:ind w:right="-15"/>
        <w:jc w:val="center"/>
        <w:rPr>
          <w:rFonts w:ascii="Times New Roman" w:hAnsi="Times New Roman" w:cs="Times New Roman"/>
          <w:b/>
          <w:sz w:val="24"/>
        </w:rPr>
      </w:pPr>
    </w:p>
    <w:p w:rsidR="008251A4" w:rsidRPr="007F4003" w:rsidRDefault="008251A4" w:rsidP="008251A4">
      <w:pPr>
        <w:tabs>
          <w:tab w:val="left" w:pos="1418"/>
        </w:tabs>
        <w:ind w:right="-15"/>
        <w:jc w:val="center"/>
        <w:rPr>
          <w:rFonts w:ascii="Times New Roman" w:hAnsi="Times New Roman" w:cs="Times New Roman"/>
          <w:b/>
          <w:sz w:val="24"/>
        </w:rPr>
      </w:pPr>
    </w:p>
    <w:p w:rsidR="00F277F5" w:rsidRPr="007F4003" w:rsidRDefault="00F277F5" w:rsidP="008251A4">
      <w:pPr>
        <w:tabs>
          <w:tab w:val="left" w:pos="1418"/>
        </w:tabs>
        <w:jc w:val="center"/>
        <w:rPr>
          <w:rFonts w:ascii="Times New Roman" w:hAnsi="Times New Roman" w:cs="Times New Roman"/>
          <w:b/>
          <w:bCs/>
          <w:iCs/>
          <w:sz w:val="24"/>
        </w:rPr>
      </w:pPr>
      <w:r w:rsidRPr="007F4003">
        <w:rPr>
          <w:rFonts w:ascii="Times New Roman" w:hAnsi="Times New Roman" w:cs="Times New Roman"/>
          <w:b/>
          <w:bCs/>
          <w:iCs/>
          <w:sz w:val="24"/>
        </w:rPr>
        <w:t>_______</w:t>
      </w:r>
      <w:r w:rsidR="00C724E8" w:rsidRPr="007F4003">
        <w:rPr>
          <w:rFonts w:ascii="Times New Roman" w:hAnsi="Times New Roman" w:cs="Times New Roman"/>
          <w:b/>
          <w:bCs/>
          <w:iCs/>
          <w:sz w:val="24"/>
        </w:rPr>
        <w:t>______________________________</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JOÃO MARCELO ALVES MACEDO</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Prefeito Universitário</w:t>
      </w:r>
    </w:p>
    <w:p w:rsidR="000F104D" w:rsidRPr="007F4003" w:rsidRDefault="00C724E8" w:rsidP="00C724E8">
      <w:pPr>
        <w:tabs>
          <w:tab w:val="left" w:pos="1418"/>
        </w:tabs>
        <w:jc w:val="center"/>
        <w:rPr>
          <w:rFonts w:ascii="Times New Roman" w:hAnsi="Times New Roman" w:cs="Times New Roman"/>
          <w:b/>
          <w:sz w:val="24"/>
        </w:rPr>
      </w:pPr>
      <w:r w:rsidRPr="007F4003">
        <w:rPr>
          <w:rFonts w:ascii="Times New Roman" w:hAnsi="Times New Roman" w:cs="Times New Roman"/>
          <w:b/>
          <w:sz w:val="24"/>
        </w:rPr>
        <w:t>Mat. SIAPE nº. 2569256</w:t>
      </w:r>
    </w:p>
    <w:sectPr w:rsidR="000F104D" w:rsidRPr="007F4003"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38F" w:rsidRDefault="0099538F">
      <w:r>
        <w:separator/>
      </w:r>
    </w:p>
  </w:endnote>
  <w:endnote w:type="continuationSeparator" w:id="0">
    <w:p w:rsidR="0099538F" w:rsidRDefault="0099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8450BE">
      <w:rPr>
        <w:noProof/>
        <w:sz w:val="18"/>
        <w:szCs w:val="18"/>
      </w:rPr>
      <w:pict>
        <v:shapetype id="_x0000_t202" coordsize="21600,21600" o:spt="202" path="m,l,21600r21600,l21600,xe">
          <v:stroke joinstyle="miter"/>
          <v:path gradientshapeok="t" o:connecttype="rect"/>
        </v:shapetype>
        <v:shape id="Caixa de texto 5" o:spid="_x0000_s2252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38F" w:rsidRDefault="0099538F">
      <w:r>
        <w:separator/>
      </w:r>
    </w:p>
  </w:footnote>
  <w:footnote w:type="continuationSeparator" w:id="0">
    <w:p w:rsidR="0099538F" w:rsidRDefault="009953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BF4DC7">
      <w:rPr>
        <w:rFonts w:ascii="Calibri" w:hAnsi="Calibri"/>
        <w:i/>
        <w:szCs w:val="20"/>
      </w:rPr>
      <w:t>11</w:t>
    </w:r>
    <w:r w:rsidRPr="007F6DE8">
      <w:rPr>
        <w:rFonts w:ascii="Calibri" w:hAnsi="Calibri"/>
        <w:i/>
        <w:szCs w:val="20"/>
      </w:rPr>
      <w:t>/201</w:t>
    </w:r>
    <w:r w:rsidR="00974049">
      <w:rPr>
        <w:rFonts w:ascii="Calibri" w:hAnsi="Calibri"/>
        <w:i/>
        <w:szCs w:val="20"/>
      </w:rPr>
      <w:t>7</w:t>
    </w:r>
    <w:r>
      <w:rPr>
        <w:rFonts w:ascii="Calibri" w:hAnsi="Calibri"/>
        <w:i/>
        <w:szCs w:val="20"/>
      </w:rPr>
      <w:tab/>
    </w:r>
    <w:r>
      <w:rPr>
        <w:rFonts w:ascii="Calibri" w:hAnsi="Calibri"/>
        <w:i/>
        <w:szCs w:val="20"/>
      </w:rPr>
      <w:tab/>
      <w:t xml:space="preserve">Página </w:t>
    </w:r>
    <w:r w:rsidR="00502025" w:rsidRPr="002F343B">
      <w:rPr>
        <w:rFonts w:ascii="Calibri" w:hAnsi="Calibri"/>
        <w:i/>
        <w:szCs w:val="20"/>
      </w:rPr>
      <w:fldChar w:fldCharType="begin"/>
    </w:r>
    <w:r w:rsidRPr="002F343B">
      <w:rPr>
        <w:rFonts w:ascii="Calibri" w:hAnsi="Calibri"/>
        <w:i/>
        <w:szCs w:val="20"/>
      </w:rPr>
      <w:instrText>PAGE   \* MERGEFORMAT</w:instrText>
    </w:r>
    <w:r w:rsidR="00502025" w:rsidRPr="002F343B">
      <w:rPr>
        <w:rFonts w:ascii="Calibri" w:hAnsi="Calibri"/>
        <w:i/>
        <w:szCs w:val="20"/>
      </w:rPr>
      <w:fldChar w:fldCharType="separate"/>
    </w:r>
    <w:r w:rsidR="008450BE">
      <w:rPr>
        <w:rFonts w:ascii="Calibri" w:hAnsi="Calibri"/>
        <w:i/>
        <w:noProof/>
        <w:szCs w:val="20"/>
      </w:rPr>
      <w:t>2</w:t>
    </w:r>
    <w:r w:rsidR="00502025"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B1005AF"/>
    <w:multiLevelType w:val="multilevel"/>
    <w:tmpl w:val="7520DA7A"/>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sz w:val="20"/>
        <w:szCs w:val="20"/>
      </w:rPr>
    </w:lvl>
    <w:lvl w:ilvl="2">
      <w:start w:val="1"/>
      <w:numFmt w:val="decimal"/>
      <w:lvlText w:val="%1.%2.%3."/>
      <w:lvlJc w:val="left"/>
      <w:pPr>
        <w:ind w:left="1856" w:hanging="720"/>
      </w:pPr>
      <w:rPr>
        <w:rFonts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3"/>
  </w:num>
  <w:num w:numId="5">
    <w:abstractNumId w:val="15"/>
  </w:num>
  <w:num w:numId="6">
    <w:abstractNumId w:val="29"/>
  </w:num>
  <w:num w:numId="7">
    <w:abstractNumId w:val="25"/>
  </w:num>
  <w:num w:numId="8">
    <w:abstractNumId w:val="26"/>
  </w:num>
  <w:num w:numId="9">
    <w:abstractNumId w:val="30"/>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9"/>
  </w:num>
  <w:num w:numId="31">
    <w:abstractNumId w:val="34"/>
  </w:num>
  <w:num w:numId="32">
    <w:abstractNumId w:val="18"/>
  </w:num>
  <w:num w:numId="33">
    <w:abstractNumId w:val="13"/>
  </w:num>
  <w:num w:numId="34">
    <w:abstractNumId w:val="24"/>
  </w:num>
  <w:num w:numId="35">
    <w:abstractNumId w:val="12"/>
  </w:num>
  <w:num w:numId="36">
    <w:abstractNumId w:val="37"/>
  </w:num>
  <w:num w:numId="37">
    <w:abstractNumId w:val="21"/>
  </w:num>
  <w:num w:numId="38">
    <w:abstractNumId w:val="20"/>
  </w:num>
  <w:num w:numId="39">
    <w:abstractNumId w:val="38"/>
  </w:num>
  <w:num w:numId="40">
    <w:abstractNumId w:val="31"/>
  </w:num>
  <w:num w:numId="41">
    <w:abstractNumId w:val="16"/>
  </w:num>
  <w:num w:numId="42">
    <w:abstractNumId w:val="40"/>
  </w:num>
  <w:num w:numId="43">
    <w:abstractNumId w:val="14"/>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6CA3"/>
    <w:rsid w:val="0001305A"/>
    <w:rsid w:val="00016CD4"/>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002B"/>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5B99"/>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17528"/>
    <w:rsid w:val="003238C3"/>
    <w:rsid w:val="00324BCD"/>
    <w:rsid w:val="00324F30"/>
    <w:rsid w:val="00325023"/>
    <w:rsid w:val="00325FD8"/>
    <w:rsid w:val="003265B9"/>
    <w:rsid w:val="00327232"/>
    <w:rsid w:val="00331182"/>
    <w:rsid w:val="0033678D"/>
    <w:rsid w:val="00336E39"/>
    <w:rsid w:val="003376B6"/>
    <w:rsid w:val="00340EE0"/>
    <w:rsid w:val="00343032"/>
    <w:rsid w:val="003521E5"/>
    <w:rsid w:val="00354BC2"/>
    <w:rsid w:val="0035658A"/>
    <w:rsid w:val="00364141"/>
    <w:rsid w:val="00367647"/>
    <w:rsid w:val="00367EF6"/>
    <w:rsid w:val="00373F2A"/>
    <w:rsid w:val="00376419"/>
    <w:rsid w:val="003779A2"/>
    <w:rsid w:val="00380632"/>
    <w:rsid w:val="0038139C"/>
    <w:rsid w:val="00381E2F"/>
    <w:rsid w:val="00386157"/>
    <w:rsid w:val="00386ADE"/>
    <w:rsid w:val="00390815"/>
    <w:rsid w:val="00391E14"/>
    <w:rsid w:val="00392DD9"/>
    <w:rsid w:val="003959F6"/>
    <w:rsid w:val="003A2355"/>
    <w:rsid w:val="003A711D"/>
    <w:rsid w:val="003A71EC"/>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025"/>
    <w:rsid w:val="0050224C"/>
    <w:rsid w:val="005037A6"/>
    <w:rsid w:val="00512D53"/>
    <w:rsid w:val="00513EDD"/>
    <w:rsid w:val="00514883"/>
    <w:rsid w:val="00517AF1"/>
    <w:rsid w:val="00520955"/>
    <w:rsid w:val="005226A8"/>
    <w:rsid w:val="00524860"/>
    <w:rsid w:val="0053132E"/>
    <w:rsid w:val="00533B33"/>
    <w:rsid w:val="00550520"/>
    <w:rsid w:val="00552422"/>
    <w:rsid w:val="005531EA"/>
    <w:rsid w:val="00555095"/>
    <w:rsid w:val="00555863"/>
    <w:rsid w:val="00557D41"/>
    <w:rsid w:val="00560E6C"/>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0BE8"/>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B62D8"/>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4003"/>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0BE"/>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48AC"/>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2B68"/>
    <w:rsid w:val="00943F13"/>
    <w:rsid w:val="009449BB"/>
    <w:rsid w:val="00944E0C"/>
    <w:rsid w:val="009464C6"/>
    <w:rsid w:val="00950D81"/>
    <w:rsid w:val="009543EB"/>
    <w:rsid w:val="009623AB"/>
    <w:rsid w:val="00970A6B"/>
    <w:rsid w:val="00974049"/>
    <w:rsid w:val="009756B3"/>
    <w:rsid w:val="009762B8"/>
    <w:rsid w:val="009763C4"/>
    <w:rsid w:val="00976D54"/>
    <w:rsid w:val="009803F1"/>
    <w:rsid w:val="009822D7"/>
    <w:rsid w:val="009844F7"/>
    <w:rsid w:val="009904D5"/>
    <w:rsid w:val="0099079E"/>
    <w:rsid w:val="0099538F"/>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350C3"/>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17DF"/>
    <w:rsid w:val="00A856EB"/>
    <w:rsid w:val="00A85E0A"/>
    <w:rsid w:val="00A9022E"/>
    <w:rsid w:val="00A9554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2D7"/>
    <w:rsid w:val="00B96C22"/>
    <w:rsid w:val="00B972D3"/>
    <w:rsid w:val="00BA05D3"/>
    <w:rsid w:val="00BA1705"/>
    <w:rsid w:val="00BA2132"/>
    <w:rsid w:val="00BA4295"/>
    <w:rsid w:val="00BB4389"/>
    <w:rsid w:val="00BB568B"/>
    <w:rsid w:val="00BB61BE"/>
    <w:rsid w:val="00BC033C"/>
    <w:rsid w:val="00BC2797"/>
    <w:rsid w:val="00BC4227"/>
    <w:rsid w:val="00BC6EAE"/>
    <w:rsid w:val="00BD1366"/>
    <w:rsid w:val="00BD3419"/>
    <w:rsid w:val="00BD3BFA"/>
    <w:rsid w:val="00BD41EB"/>
    <w:rsid w:val="00BD43E5"/>
    <w:rsid w:val="00BD5296"/>
    <w:rsid w:val="00BD59E3"/>
    <w:rsid w:val="00BD5BC2"/>
    <w:rsid w:val="00BD7FD7"/>
    <w:rsid w:val="00BE0315"/>
    <w:rsid w:val="00BE05F0"/>
    <w:rsid w:val="00BE1772"/>
    <w:rsid w:val="00BE1DEB"/>
    <w:rsid w:val="00BE4412"/>
    <w:rsid w:val="00BF0E8E"/>
    <w:rsid w:val="00BF1A7F"/>
    <w:rsid w:val="00BF4DC7"/>
    <w:rsid w:val="00BF69FE"/>
    <w:rsid w:val="00BF6C60"/>
    <w:rsid w:val="00C00F37"/>
    <w:rsid w:val="00C03F51"/>
    <w:rsid w:val="00C06CF4"/>
    <w:rsid w:val="00C10CC7"/>
    <w:rsid w:val="00C13225"/>
    <w:rsid w:val="00C14C86"/>
    <w:rsid w:val="00C15C7E"/>
    <w:rsid w:val="00C179C4"/>
    <w:rsid w:val="00C2208B"/>
    <w:rsid w:val="00C229F8"/>
    <w:rsid w:val="00C22B12"/>
    <w:rsid w:val="00C25D47"/>
    <w:rsid w:val="00C26B9D"/>
    <w:rsid w:val="00C27BE0"/>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44C2"/>
    <w:rsid w:val="00D66935"/>
    <w:rsid w:val="00D80021"/>
    <w:rsid w:val="00D80528"/>
    <w:rsid w:val="00D86C8C"/>
    <w:rsid w:val="00D8724C"/>
    <w:rsid w:val="00D92E84"/>
    <w:rsid w:val="00D938C1"/>
    <w:rsid w:val="00DA47A8"/>
    <w:rsid w:val="00DB3592"/>
    <w:rsid w:val="00DB4C93"/>
    <w:rsid w:val="00DC3F8A"/>
    <w:rsid w:val="00DC4AEA"/>
    <w:rsid w:val="00DC58B4"/>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38BD"/>
    <w:rsid w:val="00ED450E"/>
    <w:rsid w:val="00EE220A"/>
    <w:rsid w:val="00EE2853"/>
    <w:rsid w:val="00EE2945"/>
    <w:rsid w:val="00EE3E37"/>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8A7"/>
    <w:rsid w:val="00F44FA1"/>
    <w:rsid w:val="00F44FA8"/>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2E4C"/>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15:docId w15:val="{531E85CA-5835-4A5A-AE63-589F300A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649FC-96EF-47DE-8756-EEA8C18B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1117</TotalTime>
  <Pages>28</Pages>
  <Words>8941</Words>
  <Characters>48285</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114</cp:revision>
  <cp:lastPrinted>2016-08-23T15:11:00Z</cp:lastPrinted>
  <dcterms:created xsi:type="dcterms:W3CDTF">2014-01-21T12:30:00Z</dcterms:created>
  <dcterms:modified xsi:type="dcterms:W3CDTF">2017-05-10T13:55:00Z</dcterms:modified>
</cp:coreProperties>
</file>