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27A8F">
        <w:rPr>
          <w:rFonts w:ascii="Times New Roman" w:hAnsi="Times New Roman"/>
          <w:i w:val="0"/>
          <w:sz w:val="24"/>
          <w:szCs w:val="24"/>
        </w:rPr>
        <w:t>3</w:t>
      </w:r>
      <w:r w:rsidR="006D5C89">
        <w:rPr>
          <w:rFonts w:ascii="Times New Roman" w:hAnsi="Times New Roman"/>
          <w:i w:val="0"/>
          <w:sz w:val="24"/>
          <w:szCs w:val="24"/>
        </w:rPr>
        <w:t>4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233471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5D0EB3">
        <w:t>úteis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5D0EB3">
        <w:t>úteis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C12120" w:rsidRPr="00C12120">
        <w:t>20</w:t>
      </w:r>
      <w:r w:rsidRPr="00C12120">
        <w:t xml:space="preserve"> (</w:t>
      </w:r>
      <w:r w:rsidR="00C12120" w:rsidRPr="00C12120">
        <w:t>vinte</w:t>
      </w:r>
      <w:r w:rsidRPr="00C12120">
        <w:t xml:space="preserve">) dias </w:t>
      </w:r>
      <w:r w:rsidR="005D0EB3">
        <w:t>úteis</w:t>
      </w:r>
      <w:bookmarkStart w:id="0" w:name="_GoBack"/>
      <w:bookmarkEnd w:id="0"/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C267A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5D0EB3"/>
    <w:rsid w:val="00642F46"/>
    <w:rsid w:val="006D5C89"/>
    <w:rsid w:val="00727747"/>
    <w:rsid w:val="00791AE2"/>
    <w:rsid w:val="00B27A8F"/>
    <w:rsid w:val="00BC500B"/>
    <w:rsid w:val="00C12120"/>
    <w:rsid w:val="00C944C5"/>
    <w:rsid w:val="00C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1989</Words>
  <Characters>10746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18</cp:revision>
  <cp:lastPrinted>2015-06-08T13:59:00Z</cp:lastPrinted>
  <dcterms:created xsi:type="dcterms:W3CDTF">2014-05-16T11:51:00Z</dcterms:created>
  <dcterms:modified xsi:type="dcterms:W3CDTF">2015-09-21T12:35:00Z</dcterms:modified>
</cp:coreProperties>
</file>