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DA324C">
        <w:rPr>
          <w:rFonts w:ascii="Times New Roman" w:hAnsi="Times New Roman"/>
          <w:b/>
          <w:sz w:val="24"/>
          <w:szCs w:val="24"/>
          <w:u w:val="single"/>
        </w:rPr>
        <w:t>PREGÃO ELETRÔNICO UFPB/</w:t>
      </w:r>
      <w:proofErr w:type="spellStart"/>
      <w:r w:rsidRPr="00DA324C">
        <w:rPr>
          <w:rFonts w:ascii="Times New Roman" w:hAnsi="Times New Roman"/>
          <w:b/>
          <w:sz w:val="24"/>
          <w:szCs w:val="24"/>
          <w:u w:val="single"/>
        </w:rPr>
        <w:t>CPL-PU</w:t>
      </w:r>
      <w:proofErr w:type="spellEnd"/>
      <w:r w:rsidRPr="00DA324C">
        <w:rPr>
          <w:rFonts w:ascii="Times New Roman" w:hAnsi="Times New Roman"/>
          <w:b/>
          <w:sz w:val="24"/>
          <w:szCs w:val="24"/>
          <w:u w:val="single"/>
        </w:rPr>
        <w:t xml:space="preserve"> Nº 0</w:t>
      </w:r>
      <w:r w:rsidR="00CD2FA5">
        <w:rPr>
          <w:rFonts w:ascii="Times New Roman" w:hAnsi="Times New Roman"/>
          <w:b/>
          <w:sz w:val="24"/>
          <w:szCs w:val="24"/>
          <w:u w:val="single"/>
        </w:rPr>
        <w:t>18</w:t>
      </w:r>
      <w:r w:rsidRPr="00DA324C">
        <w:rPr>
          <w:rFonts w:ascii="Times New Roman" w:hAnsi="Times New Roman"/>
          <w:b/>
          <w:sz w:val="24"/>
          <w:szCs w:val="24"/>
          <w:u w:val="single"/>
        </w:rPr>
        <w:t>/2017</w:t>
      </w:r>
    </w:p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A324C">
        <w:rPr>
          <w:rFonts w:ascii="Times New Roman" w:hAnsi="Times New Roman"/>
          <w:b/>
          <w:sz w:val="24"/>
          <w:szCs w:val="24"/>
          <w:u w:val="single"/>
        </w:rPr>
        <w:t>PROCESSO Nº 23074.033</w:t>
      </w:r>
      <w:r w:rsidR="00CD2FA5">
        <w:rPr>
          <w:rFonts w:ascii="Times New Roman" w:hAnsi="Times New Roman"/>
          <w:b/>
          <w:sz w:val="24"/>
          <w:szCs w:val="24"/>
          <w:u w:val="single"/>
        </w:rPr>
        <w:t>953</w:t>
      </w:r>
      <w:r w:rsidRPr="00DA324C">
        <w:rPr>
          <w:rFonts w:ascii="Times New Roman" w:hAnsi="Times New Roman"/>
          <w:b/>
          <w:sz w:val="24"/>
          <w:szCs w:val="24"/>
          <w:u w:val="single"/>
        </w:rPr>
        <w:t>/2017-</w:t>
      </w:r>
      <w:r w:rsidR="00CD2FA5">
        <w:rPr>
          <w:rFonts w:ascii="Times New Roman" w:hAnsi="Times New Roman"/>
          <w:b/>
          <w:sz w:val="24"/>
          <w:szCs w:val="24"/>
          <w:u w:val="single"/>
        </w:rPr>
        <w:t>42</w:t>
      </w:r>
    </w:p>
    <w:p w:rsid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ANEXO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IV</w:t>
      </w:r>
      <w:proofErr w:type="spellEnd"/>
    </w:p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A324C">
        <w:rPr>
          <w:rFonts w:ascii="Times New Roman" w:hAnsi="Times New Roman"/>
          <w:b/>
          <w:sz w:val="24"/>
          <w:szCs w:val="24"/>
          <w:u w:val="single"/>
        </w:rPr>
        <w:t>TERMO DE CESSÃO DE USO</w:t>
      </w:r>
    </w:p>
    <w:p w:rsidR="00DA324C" w:rsidRDefault="00DA324C" w:rsidP="00DA324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>PREGÃO ELETRÔNICO Nº 0</w:t>
      </w:r>
      <w:r w:rsidR="00CD2FA5">
        <w:rPr>
          <w:rFonts w:ascii="Arial" w:hAnsi="Arial" w:cs="Arial"/>
          <w:b/>
          <w:sz w:val="20"/>
          <w:szCs w:val="24"/>
        </w:rPr>
        <w:t>18</w:t>
      </w:r>
      <w:r w:rsidR="004214F8" w:rsidRPr="004214F8">
        <w:rPr>
          <w:rFonts w:ascii="Arial" w:hAnsi="Arial" w:cs="Arial"/>
          <w:b/>
          <w:sz w:val="20"/>
          <w:szCs w:val="24"/>
        </w:rPr>
        <w:t>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</w:t>
      </w:r>
      <w:r w:rsidR="00BD5DAF" w:rsidRPr="00BD5DAF">
        <w:rPr>
          <w:rFonts w:ascii="Arial" w:hAnsi="Arial" w:cs="Arial"/>
          <w:sz w:val="20"/>
          <w:szCs w:val="24"/>
        </w:rPr>
        <w:t>Nº</w:t>
      </w:r>
      <w:r w:rsidR="004214F8" w:rsidRPr="00BD5DAF">
        <w:rPr>
          <w:rFonts w:ascii="Arial" w:hAnsi="Arial" w:cs="Arial"/>
          <w:sz w:val="20"/>
          <w:szCs w:val="24"/>
        </w:rPr>
        <w:t xml:space="preserve"> </w:t>
      </w:r>
      <w:r w:rsidR="00406ACB" w:rsidRPr="00BD5DAF">
        <w:rPr>
          <w:rFonts w:ascii="Arial" w:hAnsi="Arial" w:cs="Arial"/>
          <w:sz w:val="20"/>
          <w:szCs w:val="24"/>
        </w:rPr>
        <w:t>23074</w:t>
      </w:r>
      <w:r w:rsidR="004214F8" w:rsidRPr="00BD5DAF">
        <w:rPr>
          <w:rFonts w:ascii="Arial" w:hAnsi="Arial" w:cs="Arial"/>
          <w:sz w:val="20"/>
          <w:szCs w:val="24"/>
        </w:rPr>
        <w:t>.</w:t>
      </w:r>
      <w:r w:rsidR="00CD2FA5" w:rsidRPr="00BD5DAF">
        <w:rPr>
          <w:rFonts w:ascii="Arial" w:hAnsi="Arial" w:cs="Arial"/>
          <w:sz w:val="20"/>
          <w:szCs w:val="24"/>
        </w:rPr>
        <w:t>033953</w:t>
      </w:r>
      <w:r w:rsidR="004214F8" w:rsidRPr="00BD5DAF">
        <w:rPr>
          <w:rFonts w:ascii="Arial" w:hAnsi="Arial" w:cs="Arial"/>
          <w:sz w:val="20"/>
          <w:szCs w:val="24"/>
        </w:rPr>
        <w:t>/2017-</w:t>
      </w:r>
      <w:r w:rsidR="00CD2FA5" w:rsidRPr="00BD5DAF">
        <w:rPr>
          <w:rFonts w:ascii="Arial" w:hAnsi="Arial" w:cs="Arial"/>
          <w:sz w:val="20"/>
          <w:szCs w:val="24"/>
        </w:rPr>
        <w:t>42</w:t>
      </w:r>
      <w:r w:rsidR="004214F8" w:rsidRPr="00BD5DAF">
        <w:rPr>
          <w:rFonts w:ascii="Arial" w:hAnsi="Arial" w:cs="Arial"/>
          <w:sz w:val="20"/>
          <w:szCs w:val="24"/>
        </w:rPr>
        <w:t>,</w:t>
      </w:r>
      <w:r w:rsidR="004214F8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 xml:space="preserve">Instituição de Ensino, Pesquisa </w:t>
      </w:r>
      <w:proofErr w:type="gramStart"/>
      <w:r w:rsidRPr="009F7D35">
        <w:rPr>
          <w:rFonts w:ascii="Arial" w:hAnsi="Arial" w:cs="Arial"/>
          <w:sz w:val="20"/>
          <w:szCs w:val="24"/>
        </w:rPr>
        <w:t>e</w:t>
      </w:r>
      <w:proofErr w:type="gramEnd"/>
      <w:r w:rsidRPr="009F7D35">
        <w:rPr>
          <w:rFonts w:ascii="Arial" w:hAnsi="Arial" w:cs="Arial"/>
          <w:sz w:val="20"/>
          <w:szCs w:val="24"/>
        </w:rPr>
        <w:t xml:space="preserve"> Extensão estabelecida no Edifício da Reitoria, Campus I, nesta Capital, inscrita no CNPJ sob o nº 24.098.477/0001-10, neste </w:t>
      </w:r>
      <w:proofErr w:type="gramStart"/>
      <w:r w:rsidRPr="009F7D35">
        <w:rPr>
          <w:rFonts w:ascii="Arial" w:hAnsi="Arial" w:cs="Arial"/>
          <w:sz w:val="20"/>
          <w:szCs w:val="24"/>
        </w:rPr>
        <w:t>ato representada</w:t>
      </w:r>
      <w:proofErr w:type="gramEnd"/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</w:t>
      </w:r>
      <w:proofErr w:type="gramStart"/>
      <w:r w:rsidR="007756C5" w:rsidRPr="009F7D35">
        <w:rPr>
          <w:rFonts w:ascii="Arial" w:hAnsi="Arial" w:cs="Arial"/>
          <w:sz w:val="20"/>
          <w:szCs w:val="24"/>
        </w:rPr>
        <w:t>pelo(</w:t>
      </w:r>
      <w:proofErr w:type="gramEnd"/>
      <w:r w:rsidR="007756C5" w:rsidRPr="009F7D35">
        <w:rPr>
          <w:rFonts w:ascii="Arial" w:hAnsi="Arial" w:cs="Arial"/>
          <w:sz w:val="20"/>
          <w:szCs w:val="24"/>
        </w:rPr>
        <w:t xml:space="preserve">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</w:t>
      </w:r>
      <w:r w:rsidRPr="00BD5DAF">
        <w:rPr>
          <w:rFonts w:ascii="Arial" w:hAnsi="Arial" w:cs="Arial"/>
          <w:sz w:val="20"/>
          <w:szCs w:val="24"/>
        </w:rPr>
        <w:t xml:space="preserve">do </w:t>
      </w:r>
      <w:r w:rsidRPr="00BD5DAF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BD5DAF">
        <w:rPr>
          <w:rFonts w:ascii="Arial" w:hAnsi="Arial" w:cs="Arial"/>
          <w:b/>
          <w:bCs/>
          <w:i/>
          <w:sz w:val="20"/>
          <w:szCs w:val="24"/>
        </w:rPr>
        <w:t>23074.</w:t>
      </w:r>
      <w:r w:rsidR="00CD2FA5" w:rsidRPr="00BD5DAF">
        <w:rPr>
          <w:rFonts w:ascii="Arial" w:hAnsi="Arial" w:cs="Arial"/>
          <w:b/>
          <w:bCs/>
          <w:i/>
          <w:sz w:val="20"/>
          <w:szCs w:val="24"/>
        </w:rPr>
        <w:t>033953</w:t>
      </w:r>
      <w:r w:rsidR="00B07C96" w:rsidRPr="00BD5DAF">
        <w:rPr>
          <w:rFonts w:ascii="Arial" w:hAnsi="Arial" w:cs="Arial"/>
          <w:b/>
          <w:bCs/>
          <w:i/>
          <w:sz w:val="20"/>
          <w:szCs w:val="24"/>
        </w:rPr>
        <w:t>/2017-</w:t>
      </w:r>
      <w:r w:rsidR="00CD2FA5" w:rsidRPr="00BD5DAF">
        <w:rPr>
          <w:rFonts w:ascii="Arial" w:hAnsi="Arial" w:cs="Arial"/>
          <w:b/>
          <w:bCs/>
          <w:i/>
          <w:sz w:val="20"/>
          <w:szCs w:val="24"/>
        </w:rPr>
        <w:t>42</w:t>
      </w:r>
      <w:r w:rsidR="00F70F20" w:rsidRPr="00BD5DAF">
        <w:rPr>
          <w:rFonts w:ascii="Arial" w:hAnsi="Arial" w:cs="Arial"/>
          <w:b/>
          <w:bCs/>
          <w:sz w:val="20"/>
          <w:szCs w:val="24"/>
        </w:rPr>
        <w:t xml:space="preserve"> </w:t>
      </w:r>
      <w:r w:rsidRPr="00BD5DAF">
        <w:rPr>
          <w:rFonts w:ascii="Arial" w:hAnsi="Arial" w:cs="Arial"/>
          <w:bCs/>
          <w:sz w:val="20"/>
          <w:szCs w:val="24"/>
        </w:rPr>
        <w:t>d</w:t>
      </w:r>
      <w:r w:rsidRPr="00BD5DAF">
        <w:rPr>
          <w:rFonts w:ascii="Arial" w:hAnsi="Arial" w:cs="Arial"/>
          <w:sz w:val="20"/>
          <w:szCs w:val="24"/>
        </w:rPr>
        <w:t>e</w:t>
      </w:r>
      <w:r w:rsidRPr="009F7D35">
        <w:rPr>
          <w:rFonts w:ascii="Arial" w:hAnsi="Arial" w:cs="Arial"/>
          <w:sz w:val="20"/>
          <w:szCs w:val="24"/>
        </w:rPr>
        <w:t xml:space="preserve">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proofErr w:type="spellStart"/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proofErr w:type="gramStart"/>
      <w:r w:rsidR="00E175B7" w:rsidRPr="009F7D35">
        <w:rPr>
          <w:rFonts w:ascii="Arial" w:hAnsi="Arial" w:cs="Arial"/>
          <w:sz w:val="20"/>
          <w:szCs w:val="24"/>
        </w:rPr>
        <w:t>esteja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 xml:space="preserve">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>, a que der causa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 xml:space="preserve">isquer danos na </w:t>
      </w:r>
      <w:proofErr w:type="spellStart"/>
      <w:proofErr w:type="gramStart"/>
      <w:r w:rsidR="00070258" w:rsidRPr="009F7D35">
        <w:rPr>
          <w:rFonts w:ascii="Arial" w:hAnsi="Arial" w:cs="Arial"/>
          <w:sz w:val="20"/>
          <w:szCs w:val="24"/>
        </w:rPr>
        <w:t>infra-estrutura</w:t>
      </w:r>
      <w:proofErr w:type="spellEnd"/>
      <w:proofErr w:type="gramEnd"/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>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CD2FA5" w:rsidRDefault="00CD2FA5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spellStart"/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proofErr w:type="gramEnd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spell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( </w:t>
      </w:r>
      <w:proofErr w:type="spellStart"/>
      <w:r w:rsidRPr="00A677CE">
        <w:rPr>
          <w:rFonts w:ascii="Arial" w:hAnsi="Arial" w:cs="Arial"/>
          <w:bCs/>
          <w:sz w:val="20"/>
          <w:szCs w:val="24"/>
          <w:highlight w:val="yellow"/>
        </w:rPr>
        <w:t>XXXXXXXXXXXXXXXXX</w:t>
      </w:r>
      <w:proofErr w:type="spellEnd"/>
      <w:r w:rsidRPr="00A677CE">
        <w:rPr>
          <w:rFonts w:ascii="Arial" w:hAnsi="Arial" w:cs="Arial"/>
          <w:bCs/>
          <w:sz w:val="20"/>
          <w:szCs w:val="24"/>
          <w:highlight w:val="yellow"/>
        </w:rPr>
        <w:t>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</w:t>
      </w:r>
      <w:proofErr w:type="gramStart"/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)</w:t>
      </w:r>
      <w:proofErr w:type="gramEnd"/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na data estipulada </w:t>
      </w:r>
      <w:r w:rsidRPr="009F7D35">
        <w:rPr>
          <w:rFonts w:ascii="Arial" w:hAnsi="Arial" w:cs="Arial"/>
          <w:sz w:val="20"/>
          <w:szCs w:val="24"/>
        </w:rPr>
        <w:lastRenderedPageBreak/>
        <w:t xml:space="preserve">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SÉTIMA</w:t>
      </w:r>
      <w:r w:rsidR="00CA4216" w:rsidRPr="00F55952">
        <w:rPr>
          <w:rFonts w:ascii="Arial" w:hAnsi="Arial" w:cs="Arial"/>
          <w:b/>
          <w:sz w:val="20"/>
          <w:szCs w:val="20"/>
        </w:rPr>
        <w:t xml:space="preserve"> – Das Suspensões de Fornecimento de Água e Energia</w:t>
      </w: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A inadimplência motivada, pelo não pagamento de quaisquer das taxas, tais como ENERGIA,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ÃO DE USO, </w:t>
      </w:r>
      <w:r w:rsidR="00F70F20" w:rsidRPr="00F55952">
        <w:rPr>
          <w:rFonts w:ascii="Arial" w:hAnsi="Arial" w:cs="Arial"/>
          <w:sz w:val="20"/>
          <w:szCs w:val="20"/>
        </w:rPr>
        <w:t>ÁGUA</w:t>
      </w:r>
      <w:r w:rsidRPr="00F55952">
        <w:rPr>
          <w:rFonts w:ascii="Arial" w:hAnsi="Arial" w:cs="Arial"/>
          <w:sz w:val="20"/>
          <w:szCs w:val="20"/>
        </w:rPr>
        <w:t xml:space="preserve"> OU PARCELAS DE </w:t>
      </w:r>
      <w:r w:rsidR="00F039A5" w:rsidRPr="00F55952">
        <w:rPr>
          <w:rFonts w:ascii="Arial" w:hAnsi="Arial" w:cs="Arial"/>
          <w:sz w:val="20"/>
          <w:szCs w:val="20"/>
        </w:rPr>
        <w:t xml:space="preserve">EVENTUAL </w:t>
      </w:r>
      <w:r w:rsidRPr="00F55952">
        <w:rPr>
          <w:rFonts w:ascii="Arial" w:hAnsi="Arial" w:cs="Arial"/>
          <w:sz w:val="20"/>
          <w:szCs w:val="20"/>
        </w:rPr>
        <w:t xml:space="preserve">ACORDO, entre outras, que recaiam sobre o objeto do presente Termo de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ão de Uso, sujeitará a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IONÁRIA, além das penalidades </w:t>
      </w:r>
      <w:r w:rsidR="00F039A5" w:rsidRPr="00F55952">
        <w:rPr>
          <w:rFonts w:ascii="Arial" w:hAnsi="Arial" w:cs="Arial"/>
          <w:sz w:val="20"/>
          <w:szCs w:val="20"/>
        </w:rPr>
        <w:t xml:space="preserve">aqui </w:t>
      </w:r>
      <w:r w:rsidRPr="00F55952">
        <w:rPr>
          <w:rFonts w:ascii="Arial" w:hAnsi="Arial" w:cs="Arial"/>
          <w:sz w:val="20"/>
          <w:szCs w:val="20"/>
        </w:rPr>
        <w:t xml:space="preserve">previstas, a suspensão </w:t>
      </w:r>
      <w:r w:rsidR="00F039A5" w:rsidRPr="00F55952">
        <w:rPr>
          <w:rFonts w:ascii="Arial" w:hAnsi="Arial" w:cs="Arial"/>
          <w:sz w:val="20"/>
          <w:szCs w:val="20"/>
        </w:rPr>
        <w:t>d</w:t>
      </w:r>
      <w:r w:rsidRPr="00F55952">
        <w:rPr>
          <w:rFonts w:ascii="Arial" w:hAnsi="Arial" w:cs="Arial"/>
          <w:sz w:val="20"/>
          <w:szCs w:val="20"/>
        </w:rPr>
        <w:t xml:space="preserve">o fornecimento de energia elétrica, nos casos de inadimplência das taxas de energia, acordo ou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>ão</w:t>
      </w:r>
      <w:r w:rsidR="00F039A5" w:rsidRPr="00F55952">
        <w:rPr>
          <w:rFonts w:ascii="Arial" w:hAnsi="Arial" w:cs="Arial"/>
          <w:sz w:val="20"/>
          <w:szCs w:val="20"/>
        </w:rPr>
        <w:t>,</w:t>
      </w:r>
      <w:r w:rsidRPr="00F55952">
        <w:rPr>
          <w:rFonts w:ascii="Arial" w:hAnsi="Arial" w:cs="Arial"/>
          <w:sz w:val="20"/>
          <w:szCs w:val="20"/>
        </w:rPr>
        <w:t xml:space="preserve"> e suspensão </w:t>
      </w:r>
      <w:r w:rsidR="00F039A5" w:rsidRPr="00F55952">
        <w:rPr>
          <w:rFonts w:ascii="Arial" w:hAnsi="Arial" w:cs="Arial"/>
          <w:sz w:val="20"/>
          <w:szCs w:val="20"/>
        </w:rPr>
        <w:t>d</w:t>
      </w:r>
      <w:r w:rsidRPr="00F55952">
        <w:rPr>
          <w:rFonts w:ascii="Arial" w:hAnsi="Arial" w:cs="Arial"/>
          <w:sz w:val="20"/>
          <w:szCs w:val="20"/>
        </w:rPr>
        <w:t>o fornecimento de água, quando a inadimplência for causada pela falta do pagamento da taxa de água.</w:t>
      </w:r>
    </w:p>
    <w:p w:rsidR="00F93D0E" w:rsidRPr="00F55952" w:rsidRDefault="00F93D0E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C1143" w:rsidRPr="00F55952" w:rsidRDefault="002C1143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OITAVA</w:t>
      </w:r>
      <w:r w:rsidRPr="00F55952">
        <w:rPr>
          <w:rFonts w:ascii="Arial" w:hAnsi="Arial" w:cs="Arial"/>
          <w:b/>
          <w:sz w:val="20"/>
          <w:szCs w:val="20"/>
        </w:rPr>
        <w:t xml:space="preserve"> – DAS CONDIÇÕES DE FUNCIONAMENTO</w:t>
      </w:r>
    </w:p>
    <w:p w:rsidR="00D20278" w:rsidRPr="00F55952" w:rsidRDefault="00C557DF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As condições de funcionamento deverão atender as contidas no </w:t>
      </w:r>
      <w:r w:rsidR="005757FF" w:rsidRPr="00F55952">
        <w:rPr>
          <w:rFonts w:ascii="Arial" w:hAnsi="Arial" w:cs="Arial"/>
          <w:sz w:val="20"/>
          <w:szCs w:val="20"/>
        </w:rPr>
        <w:t>T</w:t>
      </w:r>
      <w:r w:rsidRPr="00F55952">
        <w:rPr>
          <w:rFonts w:ascii="Arial" w:hAnsi="Arial" w:cs="Arial"/>
          <w:sz w:val="20"/>
          <w:szCs w:val="20"/>
        </w:rPr>
        <w:t xml:space="preserve">ermo de </w:t>
      </w:r>
      <w:r w:rsidR="005757FF" w:rsidRPr="00F55952">
        <w:rPr>
          <w:rFonts w:ascii="Arial" w:hAnsi="Arial" w:cs="Arial"/>
          <w:sz w:val="20"/>
          <w:szCs w:val="20"/>
        </w:rPr>
        <w:t>R</w:t>
      </w:r>
      <w:r w:rsidRPr="00F55952">
        <w:rPr>
          <w:rFonts w:ascii="Arial" w:hAnsi="Arial" w:cs="Arial"/>
          <w:sz w:val="20"/>
          <w:szCs w:val="20"/>
        </w:rPr>
        <w:t>eferência do procedimento licitatório.</w:t>
      </w:r>
    </w:p>
    <w:p w:rsidR="00C256F1" w:rsidRPr="00F55952" w:rsidRDefault="00C256F1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57FF" w:rsidRPr="00F55952" w:rsidRDefault="005757FF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NONA</w:t>
      </w:r>
      <w:r w:rsidRPr="00F55952">
        <w:rPr>
          <w:rFonts w:ascii="Arial" w:hAnsi="Arial" w:cs="Arial"/>
          <w:b/>
          <w:sz w:val="20"/>
          <w:szCs w:val="20"/>
        </w:rPr>
        <w:t xml:space="preserve"> </w:t>
      </w:r>
      <w:r w:rsidRPr="00F55952">
        <w:rPr>
          <w:rFonts w:ascii="Arial" w:hAnsi="Arial" w:cs="Arial"/>
          <w:b/>
          <w:sz w:val="20"/>
          <w:szCs w:val="20"/>
        </w:rPr>
        <w:t>– DA RESCISÃO E DAS SANÇÕES ADMINISTRATIVAS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 licitante total ou parcialmente inadimplente estará sujeita à aplicação das sanções previ</w:t>
      </w:r>
      <w:r w:rsidRPr="00F55952">
        <w:rPr>
          <w:rFonts w:ascii="Arial" w:hAnsi="Arial" w:cs="Arial"/>
          <w:sz w:val="20"/>
          <w:szCs w:val="20"/>
        </w:rPr>
        <w:t>s</w:t>
      </w:r>
      <w:r w:rsidRPr="00F55952">
        <w:rPr>
          <w:rFonts w:ascii="Arial" w:hAnsi="Arial" w:cs="Arial"/>
          <w:sz w:val="20"/>
          <w:szCs w:val="20"/>
        </w:rPr>
        <w:t xml:space="preserve">tas nos </w:t>
      </w:r>
      <w:proofErr w:type="spellStart"/>
      <w:r w:rsidRPr="00F55952">
        <w:rPr>
          <w:rFonts w:ascii="Arial" w:hAnsi="Arial" w:cs="Arial"/>
          <w:sz w:val="20"/>
          <w:szCs w:val="20"/>
        </w:rPr>
        <w:t>arts</w:t>
      </w:r>
      <w:proofErr w:type="spellEnd"/>
      <w:r w:rsidRPr="00F55952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55952">
        <w:rPr>
          <w:rFonts w:ascii="Arial" w:hAnsi="Arial" w:cs="Arial"/>
          <w:sz w:val="20"/>
          <w:szCs w:val="20"/>
        </w:rPr>
        <w:t>86, 87 e 88</w:t>
      </w:r>
      <w:proofErr w:type="gramEnd"/>
      <w:r w:rsidRPr="00F55952">
        <w:rPr>
          <w:rFonts w:ascii="Arial" w:hAnsi="Arial" w:cs="Arial"/>
          <w:sz w:val="20"/>
          <w:szCs w:val="20"/>
        </w:rPr>
        <w:t xml:space="preserve"> da Lei Federal n° 8.666/93 combinada com o art. 7º da Lei 10.520/2002, a saber: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advertência</w:t>
      </w:r>
      <w:proofErr w:type="gramEnd"/>
      <w:r w:rsidRPr="00F55952">
        <w:rPr>
          <w:rFonts w:ascii="Arial" w:hAnsi="Arial" w:cs="Arial"/>
          <w:sz w:val="20"/>
        </w:rPr>
        <w:t>, nas hipóteses de execução irregular de que não resulte pr</w:t>
      </w:r>
      <w:r w:rsidRPr="00F55952">
        <w:rPr>
          <w:rFonts w:ascii="Arial" w:hAnsi="Arial" w:cs="Arial"/>
          <w:sz w:val="20"/>
        </w:rPr>
        <w:t>e</w:t>
      </w:r>
      <w:r w:rsidRPr="00F55952">
        <w:rPr>
          <w:rFonts w:ascii="Arial" w:hAnsi="Arial" w:cs="Arial"/>
          <w:sz w:val="20"/>
        </w:rPr>
        <w:t>juízo para o fornecimento;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suspensão</w:t>
      </w:r>
      <w:proofErr w:type="gramEnd"/>
      <w:r w:rsidRPr="00F55952">
        <w:rPr>
          <w:rFonts w:ascii="Arial" w:hAnsi="Arial" w:cs="Arial"/>
          <w:sz w:val="20"/>
        </w:rPr>
        <w:t xml:space="preserve"> temporária do direito de participar em licitação ou impedimento de contratar com a entidade licitante e descredenciamento no </w:t>
      </w:r>
      <w:proofErr w:type="spellStart"/>
      <w:r w:rsidRPr="00F55952">
        <w:rPr>
          <w:rFonts w:ascii="Arial" w:hAnsi="Arial" w:cs="Arial"/>
          <w:sz w:val="20"/>
        </w:rPr>
        <w:t>SICAF</w:t>
      </w:r>
      <w:proofErr w:type="spellEnd"/>
      <w:r w:rsidRPr="00F55952">
        <w:rPr>
          <w:rFonts w:ascii="Arial" w:hAnsi="Arial" w:cs="Arial"/>
          <w:sz w:val="20"/>
        </w:rPr>
        <w:t>, por prazo não superior a 2 (dois) anos, entre outras, nas hipóteses: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Convocado dentro do prazo de validade da sua proposta, não celebrar o contrato;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Ensejar injustificado retardamento da execução de seu objeto,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N</w:t>
      </w:r>
      <w:r w:rsidRPr="00F55952">
        <w:rPr>
          <w:rFonts w:ascii="Arial" w:hAnsi="Arial" w:cs="Arial"/>
          <w:sz w:val="20"/>
        </w:rPr>
        <w:t>ão mantiver a proposta,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Falhar gravemente na execução do contrato,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Na reiteração excessiva de mesmo comportamento já punido ou omissão de providê</w:t>
      </w:r>
      <w:r w:rsidRPr="00F55952">
        <w:rPr>
          <w:rFonts w:ascii="Arial" w:hAnsi="Arial" w:cs="Arial"/>
          <w:sz w:val="20"/>
        </w:rPr>
        <w:t>n</w:t>
      </w:r>
      <w:r w:rsidRPr="00F55952">
        <w:rPr>
          <w:rFonts w:ascii="Arial" w:hAnsi="Arial" w:cs="Arial"/>
          <w:sz w:val="20"/>
        </w:rPr>
        <w:t>cias para rep</w:t>
      </w:r>
      <w:r w:rsidRPr="00F55952">
        <w:rPr>
          <w:rFonts w:ascii="Arial" w:hAnsi="Arial" w:cs="Arial"/>
          <w:sz w:val="20"/>
        </w:rPr>
        <w:t>a</w:t>
      </w:r>
      <w:r w:rsidRPr="00F55952">
        <w:rPr>
          <w:rFonts w:ascii="Arial" w:hAnsi="Arial" w:cs="Arial"/>
          <w:sz w:val="20"/>
        </w:rPr>
        <w:t>ração de erros.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declaração</w:t>
      </w:r>
      <w:proofErr w:type="gramEnd"/>
      <w:r w:rsidRPr="00F55952">
        <w:rPr>
          <w:rFonts w:ascii="Arial" w:hAnsi="Arial" w:cs="Arial"/>
          <w:sz w:val="20"/>
        </w:rPr>
        <w:t xml:space="preserve"> de inidoneidade para licitar ou contratar com a Administração Pública, por no mínimo 2 anos e, no máximo, pelo prazo de até 5 anos, entre outros comportamentos e em especial quando: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Apresentar documentação falsa exigida para o certame,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lastRenderedPageBreak/>
        <w:t>Comportar-se de modo inidôneo,</w:t>
      </w:r>
    </w:p>
    <w:p w:rsidR="005757FF" w:rsidRPr="00F55952" w:rsidRDefault="002374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C</w:t>
      </w:r>
      <w:r w:rsidR="005757FF" w:rsidRPr="00F55952">
        <w:rPr>
          <w:rFonts w:ascii="Arial" w:hAnsi="Arial" w:cs="Arial"/>
          <w:sz w:val="20"/>
        </w:rPr>
        <w:t>ometer fraude fiscal,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Fraudar na execução do contrato.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O não pagamento da </w:t>
      </w:r>
      <w:proofErr w:type="spellStart"/>
      <w:r w:rsidRPr="00F55952">
        <w:rPr>
          <w:rFonts w:ascii="Arial" w:hAnsi="Arial" w:cs="Arial"/>
          <w:sz w:val="20"/>
          <w:szCs w:val="20"/>
        </w:rPr>
        <w:t>GRU</w:t>
      </w:r>
      <w:proofErr w:type="spellEnd"/>
      <w:r w:rsidRPr="00F55952">
        <w:rPr>
          <w:rFonts w:ascii="Arial" w:hAnsi="Arial" w:cs="Arial"/>
          <w:sz w:val="20"/>
          <w:szCs w:val="20"/>
        </w:rPr>
        <w:t xml:space="preserve"> na data estipulada sujeitará o cessionário ao pagamento de juros de me</w:t>
      </w:r>
      <w:r w:rsidRPr="00F55952">
        <w:rPr>
          <w:rFonts w:ascii="Arial" w:hAnsi="Arial" w:cs="Arial"/>
          <w:sz w:val="20"/>
          <w:szCs w:val="20"/>
        </w:rPr>
        <w:t>r</w:t>
      </w:r>
      <w:r w:rsidRPr="00F55952">
        <w:rPr>
          <w:rFonts w:ascii="Arial" w:hAnsi="Arial" w:cs="Arial"/>
          <w:sz w:val="20"/>
          <w:szCs w:val="20"/>
        </w:rPr>
        <w:t>cado, conforme índice da taxa SELIC, e multa de 2%.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O não pagamento do débito após o recebimento de duas notificações</w:t>
      </w:r>
      <w:proofErr w:type="gramStart"/>
      <w:r w:rsidRPr="00F55952">
        <w:rPr>
          <w:rFonts w:ascii="Arial" w:hAnsi="Arial" w:cs="Arial"/>
          <w:sz w:val="20"/>
          <w:szCs w:val="20"/>
        </w:rPr>
        <w:t>, acarretará</w:t>
      </w:r>
      <w:proofErr w:type="gramEnd"/>
      <w:r w:rsidRPr="00F55952">
        <w:rPr>
          <w:rFonts w:ascii="Arial" w:hAnsi="Arial" w:cs="Arial"/>
          <w:sz w:val="20"/>
          <w:szCs w:val="20"/>
        </w:rPr>
        <w:t xml:space="preserve"> na imediata REV</w:t>
      </w:r>
      <w:r w:rsidRPr="00F55952">
        <w:rPr>
          <w:rFonts w:ascii="Arial" w:hAnsi="Arial" w:cs="Arial"/>
          <w:sz w:val="20"/>
          <w:szCs w:val="20"/>
        </w:rPr>
        <w:t>O</w:t>
      </w:r>
      <w:r w:rsidRPr="00F55952">
        <w:rPr>
          <w:rFonts w:ascii="Arial" w:hAnsi="Arial" w:cs="Arial"/>
          <w:sz w:val="20"/>
          <w:szCs w:val="20"/>
        </w:rPr>
        <w:t xml:space="preserve">GAÇÃO do termo de Cessão de Uso; 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 multa de que trata este item não impedirá a cassação da cessão pela Universidade e a apl</w:t>
      </w:r>
      <w:r w:rsidRPr="00F55952">
        <w:rPr>
          <w:rFonts w:ascii="Arial" w:hAnsi="Arial" w:cs="Arial"/>
          <w:sz w:val="20"/>
          <w:szCs w:val="20"/>
        </w:rPr>
        <w:t>i</w:t>
      </w:r>
      <w:r w:rsidRPr="00F55952">
        <w:rPr>
          <w:rFonts w:ascii="Arial" w:hAnsi="Arial" w:cs="Arial"/>
          <w:sz w:val="20"/>
          <w:szCs w:val="20"/>
        </w:rPr>
        <w:t>cação de outras sanções.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Após a revogação assinada pelo Reitor, obriga-se o cessionário a devolver o bem cedido, no prazo máximo de 45 (quarenta e cinco) dias.</w:t>
      </w:r>
    </w:p>
    <w:p w:rsidR="005757FF" w:rsidRPr="00F55952" w:rsidRDefault="002374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P</w:t>
      </w:r>
      <w:r w:rsidR="005757FF" w:rsidRPr="00F55952">
        <w:rPr>
          <w:rFonts w:ascii="Arial" w:hAnsi="Arial" w:cs="Arial"/>
          <w:sz w:val="20"/>
          <w:szCs w:val="20"/>
        </w:rPr>
        <w:t xml:space="preserve">ela inexecução, total ou parcial do objeto da cessão, ultrapassado o prazo estabelecido no para pagamento da </w:t>
      </w:r>
      <w:proofErr w:type="spellStart"/>
      <w:r w:rsidR="005757FF" w:rsidRPr="00F55952">
        <w:rPr>
          <w:rFonts w:ascii="Arial" w:hAnsi="Arial" w:cs="Arial"/>
          <w:sz w:val="20"/>
          <w:szCs w:val="20"/>
        </w:rPr>
        <w:t>GRU</w:t>
      </w:r>
      <w:proofErr w:type="spellEnd"/>
      <w:r w:rsidR="005757FF" w:rsidRPr="00F55952">
        <w:rPr>
          <w:rFonts w:ascii="Arial" w:hAnsi="Arial" w:cs="Arial"/>
          <w:sz w:val="20"/>
          <w:szCs w:val="20"/>
        </w:rPr>
        <w:t xml:space="preserve">, a </w:t>
      </w:r>
      <w:proofErr w:type="spellStart"/>
      <w:r w:rsidR="005757FF" w:rsidRPr="00F55952">
        <w:rPr>
          <w:rFonts w:ascii="Arial" w:hAnsi="Arial" w:cs="Arial"/>
          <w:sz w:val="20"/>
          <w:szCs w:val="20"/>
        </w:rPr>
        <w:t>PU</w:t>
      </w:r>
      <w:proofErr w:type="spellEnd"/>
      <w:r w:rsidR="005757FF" w:rsidRPr="00F55952">
        <w:rPr>
          <w:rFonts w:ascii="Arial" w:hAnsi="Arial" w:cs="Arial"/>
          <w:sz w:val="20"/>
          <w:szCs w:val="20"/>
        </w:rPr>
        <w:t>/UFPB poderá aplicar ao cessionário as seguintes sanções, isolada ou cum</w:t>
      </w:r>
      <w:r w:rsidR="005757FF" w:rsidRPr="00F55952">
        <w:rPr>
          <w:rFonts w:ascii="Arial" w:hAnsi="Arial" w:cs="Arial"/>
          <w:sz w:val="20"/>
          <w:szCs w:val="20"/>
        </w:rPr>
        <w:t>u</w:t>
      </w:r>
      <w:r w:rsidR="005757FF" w:rsidRPr="00F55952">
        <w:rPr>
          <w:rFonts w:ascii="Arial" w:hAnsi="Arial" w:cs="Arial"/>
          <w:sz w:val="20"/>
          <w:szCs w:val="20"/>
        </w:rPr>
        <w:t>lativamente: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Advertência;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Suspensão temporária de participação e impedimento de contratar com a Adm</w:t>
      </w:r>
      <w:r w:rsidRPr="00F55952">
        <w:rPr>
          <w:rFonts w:ascii="Arial" w:hAnsi="Arial" w:cs="Arial"/>
          <w:sz w:val="20"/>
          <w:szCs w:val="20"/>
        </w:rPr>
        <w:t>i</w:t>
      </w:r>
      <w:r w:rsidRPr="00F55952">
        <w:rPr>
          <w:rFonts w:ascii="Arial" w:hAnsi="Arial" w:cs="Arial"/>
          <w:sz w:val="20"/>
          <w:szCs w:val="20"/>
        </w:rPr>
        <w:t>nistração por prazo não superior a 05 (cinco) anos;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Declaração de inidoneidade para licitar ou contratar com a Universidade enquanto perd</w:t>
      </w:r>
      <w:r w:rsidRPr="00F55952">
        <w:rPr>
          <w:rFonts w:ascii="Arial" w:hAnsi="Arial" w:cs="Arial"/>
          <w:sz w:val="20"/>
          <w:szCs w:val="20"/>
        </w:rPr>
        <w:t>u</w:t>
      </w:r>
      <w:r w:rsidRPr="00F55952">
        <w:rPr>
          <w:rFonts w:ascii="Arial" w:hAnsi="Arial" w:cs="Arial"/>
          <w:sz w:val="20"/>
          <w:szCs w:val="20"/>
        </w:rPr>
        <w:t>rarem os motivos da punição;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As penalidades previstas neste Edital poderão deixar de ser aplicadas, total ou parcialme</w:t>
      </w:r>
      <w:r w:rsidRPr="00F55952">
        <w:rPr>
          <w:rFonts w:ascii="Arial" w:hAnsi="Arial" w:cs="Arial"/>
          <w:sz w:val="20"/>
          <w:szCs w:val="20"/>
        </w:rPr>
        <w:t>n</w:t>
      </w:r>
      <w:r w:rsidRPr="00F55952">
        <w:rPr>
          <w:rFonts w:ascii="Arial" w:hAnsi="Arial" w:cs="Arial"/>
          <w:sz w:val="20"/>
          <w:szCs w:val="20"/>
        </w:rPr>
        <w:t>te, a critério da Autoridade Competente, se entender as justificativas apresentadas pelo Cessionário como rel</w:t>
      </w:r>
      <w:r w:rsidRPr="00F55952">
        <w:rPr>
          <w:rFonts w:ascii="Arial" w:hAnsi="Arial" w:cs="Arial"/>
          <w:sz w:val="20"/>
          <w:szCs w:val="20"/>
        </w:rPr>
        <w:t>e</w:t>
      </w:r>
      <w:r w:rsidRPr="00F55952">
        <w:rPr>
          <w:rFonts w:ascii="Arial" w:hAnsi="Arial" w:cs="Arial"/>
          <w:sz w:val="20"/>
          <w:szCs w:val="20"/>
        </w:rPr>
        <w:t>vantes.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As sanções serão obrigatoriamente registradas no Sistema de Cadastramento Unificado de Fornec</w:t>
      </w:r>
      <w:r w:rsidRPr="00F55952">
        <w:rPr>
          <w:rFonts w:ascii="Arial" w:hAnsi="Arial" w:cs="Arial"/>
          <w:sz w:val="20"/>
          <w:szCs w:val="20"/>
        </w:rPr>
        <w:t>e</w:t>
      </w:r>
      <w:r w:rsidRPr="00F55952">
        <w:rPr>
          <w:rFonts w:ascii="Arial" w:hAnsi="Arial" w:cs="Arial"/>
          <w:sz w:val="20"/>
          <w:szCs w:val="20"/>
        </w:rPr>
        <w:t xml:space="preserve">dores – </w:t>
      </w:r>
      <w:proofErr w:type="spellStart"/>
      <w:r w:rsidRPr="00F55952">
        <w:rPr>
          <w:rFonts w:ascii="Arial" w:hAnsi="Arial" w:cs="Arial"/>
          <w:sz w:val="20"/>
          <w:szCs w:val="20"/>
        </w:rPr>
        <w:t>SICAF</w:t>
      </w:r>
      <w:proofErr w:type="spellEnd"/>
      <w:r w:rsidRPr="00F55952">
        <w:rPr>
          <w:rFonts w:ascii="Arial" w:hAnsi="Arial" w:cs="Arial"/>
          <w:sz w:val="20"/>
          <w:szCs w:val="20"/>
        </w:rPr>
        <w:t>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Em qualquer hipótese de aplicação de sanções será assegurado ao fornecedor o contradit</w:t>
      </w:r>
      <w:r w:rsidRPr="00F55952">
        <w:rPr>
          <w:rFonts w:ascii="Arial" w:hAnsi="Arial" w:cs="Arial"/>
          <w:sz w:val="20"/>
          <w:szCs w:val="20"/>
        </w:rPr>
        <w:t>ó</w:t>
      </w:r>
      <w:r w:rsidRPr="00F55952">
        <w:rPr>
          <w:rFonts w:ascii="Arial" w:hAnsi="Arial" w:cs="Arial"/>
          <w:sz w:val="20"/>
          <w:szCs w:val="20"/>
        </w:rPr>
        <w:t>rio e a ampla defesa.</w:t>
      </w:r>
    </w:p>
    <w:p w:rsidR="005757FF" w:rsidRPr="00F55952" w:rsidRDefault="005757FF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5952" w:rsidRPr="00F55952" w:rsidRDefault="00F55952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F55952">
        <w:rPr>
          <w:rFonts w:ascii="Arial" w:hAnsi="Arial" w:cs="Arial"/>
          <w:b/>
          <w:sz w:val="20"/>
          <w:szCs w:val="20"/>
          <w:u w:val="single"/>
        </w:rPr>
        <w:t>CLÁSULA</w:t>
      </w:r>
      <w:proofErr w:type="spellEnd"/>
      <w:r w:rsidRPr="00F55952">
        <w:rPr>
          <w:rFonts w:ascii="Arial" w:hAnsi="Arial" w:cs="Arial"/>
          <w:b/>
          <w:sz w:val="20"/>
          <w:szCs w:val="20"/>
          <w:u w:val="single"/>
        </w:rPr>
        <w:t xml:space="preserve"> DÉCIMA – Da Garantia</w:t>
      </w:r>
    </w:p>
    <w:p w:rsidR="00F55952" w:rsidRPr="00F55952" w:rsidRDefault="00F55952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55952" w:rsidRPr="00F55952" w:rsidRDefault="00F55952" w:rsidP="00F55952">
      <w:pPr>
        <w:tabs>
          <w:tab w:val="left" w:pos="1134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O adjudicatário, no prazo de 10 (dez) dias após a assinatura do Termo de Contrato, prestará garantia no valor correspondente a 5% (cinco por cento) do valor do total Contrato, que será liberada de aco</w:t>
      </w:r>
      <w:r w:rsidRPr="00F55952">
        <w:rPr>
          <w:rFonts w:ascii="Arial" w:hAnsi="Arial" w:cs="Arial"/>
          <w:bCs/>
          <w:iCs/>
          <w:sz w:val="20"/>
          <w:szCs w:val="20"/>
        </w:rPr>
        <w:t>r</w:t>
      </w:r>
      <w:r w:rsidRPr="00F55952">
        <w:rPr>
          <w:rFonts w:ascii="Arial" w:hAnsi="Arial" w:cs="Arial"/>
          <w:bCs/>
          <w:iCs/>
          <w:sz w:val="20"/>
          <w:szCs w:val="20"/>
        </w:rPr>
        <w:t xml:space="preserve">do com as condições previstas neste Edital, conforme disposto no art. 56 da Lei nº 8.666, de 1993, desde que cumpridas </w:t>
      </w:r>
      <w:proofErr w:type="gramStart"/>
      <w:r w:rsidRPr="00F55952">
        <w:rPr>
          <w:rFonts w:ascii="Arial" w:hAnsi="Arial" w:cs="Arial"/>
          <w:bCs/>
          <w:iCs/>
          <w:sz w:val="20"/>
          <w:szCs w:val="20"/>
        </w:rPr>
        <w:t>as</w:t>
      </w:r>
      <w:proofErr w:type="gramEnd"/>
      <w:r w:rsidRPr="00F55952">
        <w:rPr>
          <w:rFonts w:ascii="Arial" w:hAnsi="Arial" w:cs="Arial"/>
          <w:bCs/>
          <w:iCs/>
          <w:sz w:val="20"/>
          <w:szCs w:val="20"/>
        </w:rPr>
        <w:t xml:space="preserve"> obrigações contratuais. </w:t>
      </w:r>
    </w:p>
    <w:p w:rsidR="00F55952" w:rsidRPr="00F55952" w:rsidRDefault="00F55952" w:rsidP="00F55952">
      <w:pPr>
        <w:tabs>
          <w:tab w:val="left" w:pos="1134"/>
        </w:tabs>
        <w:snapToGrid w:val="0"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 xml:space="preserve">A inobservância do prazo fixado para apresentação da garantia acarretará a aplicação de multa de 0,07% (sete centésimos por cento) do valor do contrato por dia de atraso, até o máximo de 2% (dois por cento). </w:t>
      </w:r>
    </w:p>
    <w:p w:rsidR="00F55952" w:rsidRPr="00F55952" w:rsidRDefault="00F55952" w:rsidP="00F55952">
      <w:pPr>
        <w:tabs>
          <w:tab w:val="left" w:pos="1134"/>
        </w:tabs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lastRenderedPageBreak/>
        <w:t>O atraso superior a 25 (vinte e cinco) dias autoriza a Administração a promover a rescisão do contrato por descumprimento ou cumprimento irregular de suas cláus</w:t>
      </w:r>
      <w:r w:rsidRPr="00F55952">
        <w:rPr>
          <w:rFonts w:ascii="Arial" w:hAnsi="Arial" w:cs="Arial"/>
          <w:bCs/>
          <w:iCs/>
          <w:sz w:val="20"/>
          <w:szCs w:val="20"/>
        </w:rPr>
        <w:t>u</w:t>
      </w:r>
      <w:r w:rsidRPr="00F55952">
        <w:rPr>
          <w:rFonts w:ascii="Arial" w:hAnsi="Arial" w:cs="Arial"/>
          <w:bCs/>
          <w:iCs/>
          <w:sz w:val="20"/>
          <w:szCs w:val="20"/>
        </w:rPr>
        <w:t>las, conforme dispõem os incisos I e II do art. 78 da Lei nº 8.666, de 1993;</w:t>
      </w:r>
    </w:p>
    <w:p w:rsidR="00F55952" w:rsidRPr="00F55952" w:rsidRDefault="00F55952" w:rsidP="00F55952">
      <w:pPr>
        <w:tabs>
          <w:tab w:val="left" w:pos="1134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A validade da garantia, qualquer que seja a modalidade escolhida, deverá abranger um p</w:t>
      </w:r>
      <w:r w:rsidRPr="00F55952">
        <w:rPr>
          <w:rFonts w:ascii="Arial" w:hAnsi="Arial" w:cs="Arial"/>
          <w:bCs/>
          <w:iCs/>
          <w:sz w:val="20"/>
          <w:szCs w:val="20"/>
        </w:rPr>
        <w:t>e</w:t>
      </w:r>
      <w:r w:rsidRPr="00F55952">
        <w:rPr>
          <w:rFonts w:ascii="Arial" w:hAnsi="Arial" w:cs="Arial"/>
          <w:bCs/>
          <w:iCs/>
          <w:sz w:val="20"/>
          <w:szCs w:val="20"/>
        </w:rPr>
        <w:t xml:space="preserve">ríodo de mais </w:t>
      </w:r>
      <w:proofErr w:type="gramStart"/>
      <w:r w:rsidRPr="00F55952">
        <w:rPr>
          <w:rFonts w:ascii="Arial" w:hAnsi="Arial" w:cs="Arial"/>
          <w:bCs/>
          <w:iCs/>
          <w:sz w:val="20"/>
          <w:szCs w:val="20"/>
        </w:rPr>
        <w:t>3</w:t>
      </w:r>
      <w:proofErr w:type="gramEnd"/>
      <w:r w:rsidRPr="00F55952">
        <w:rPr>
          <w:rFonts w:ascii="Arial" w:hAnsi="Arial" w:cs="Arial"/>
          <w:bCs/>
          <w:iCs/>
          <w:sz w:val="20"/>
          <w:szCs w:val="20"/>
        </w:rPr>
        <w:t xml:space="preserve"> (três) meses após o término da vigência contratual.</w:t>
      </w:r>
    </w:p>
    <w:p w:rsidR="00F55952" w:rsidRPr="00F55952" w:rsidRDefault="00F55952" w:rsidP="00F55952">
      <w:pPr>
        <w:tabs>
          <w:tab w:val="left" w:pos="1134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 xml:space="preserve">A garantia </w:t>
      </w:r>
      <w:proofErr w:type="gramStart"/>
      <w:r w:rsidRPr="00F55952">
        <w:rPr>
          <w:rFonts w:ascii="Arial" w:hAnsi="Arial" w:cs="Arial"/>
          <w:bCs/>
          <w:iCs/>
          <w:sz w:val="20"/>
          <w:szCs w:val="20"/>
        </w:rPr>
        <w:t>assegurará,</w:t>
      </w:r>
      <w:proofErr w:type="gramEnd"/>
      <w:r w:rsidRPr="00F55952">
        <w:rPr>
          <w:rFonts w:ascii="Arial" w:hAnsi="Arial" w:cs="Arial"/>
          <w:bCs/>
          <w:iCs/>
          <w:sz w:val="20"/>
          <w:szCs w:val="20"/>
        </w:rPr>
        <w:t xml:space="preserve"> qualquer que seja a modalidade escolhida, o pagame</w:t>
      </w:r>
      <w:r w:rsidRPr="00F55952">
        <w:rPr>
          <w:rFonts w:ascii="Arial" w:hAnsi="Arial" w:cs="Arial"/>
          <w:bCs/>
          <w:iCs/>
          <w:sz w:val="20"/>
          <w:szCs w:val="20"/>
        </w:rPr>
        <w:t>n</w:t>
      </w:r>
      <w:r w:rsidRPr="00F55952">
        <w:rPr>
          <w:rFonts w:ascii="Arial" w:hAnsi="Arial" w:cs="Arial"/>
          <w:bCs/>
          <w:iCs/>
          <w:sz w:val="20"/>
          <w:szCs w:val="20"/>
        </w:rPr>
        <w:t xml:space="preserve">to de: </w:t>
      </w:r>
    </w:p>
    <w:p w:rsidR="00F55952" w:rsidRPr="00F55952" w:rsidRDefault="00F55952" w:rsidP="00F55952">
      <w:pPr>
        <w:pStyle w:val="PargrafodaLista"/>
        <w:numPr>
          <w:ilvl w:val="0"/>
          <w:numId w:val="12"/>
        </w:numPr>
        <w:tabs>
          <w:tab w:val="left" w:pos="1134"/>
        </w:tabs>
        <w:autoSpaceDE w:val="0"/>
        <w:snapToGrid w:val="0"/>
        <w:spacing w:line="360" w:lineRule="auto"/>
        <w:ind w:left="0" w:firstLine="0"/>
        <w:jc w:val="both"/>
        <w:rPr>
          <w:rFonts w:ascii="Arial" w:hAnsi="Arial" w:cs="Arial"/>
          <w:bCs/>
          <w:iCs/>
          <w:sz w:val="20"/>
        </w:rPr>
      </w:pPr>
      <w:proofErr w:type="gramStart"/>
      <w:r w:rsidRPr="00F55952">
        <w:rPr>
          <w:rFonts w:ascii="Arial" w:hAnsi="Arial" w:cs="Arial"/>
          <w:bCs/>
          <w:iCs/>
          <w:sz w:val="20"/>
        </w:rPr>
        <w:t>prejuízos</w:t>
      </w:r>
      <w:proofErr w:type="gramEnd"/>
      <w:r w:rsidRPr="00F55952">
        <w:rPr>
          <w:rFonts w:ascii="Arial" w:hAnsi="Arial" w:cs="Arial"/>
          <w:bCs/>
          <w:iCs/>
          <w:sz w:val="20"/>
        </w:rPr>
        <w:t xml:space="preserve"> advindos do não cumprimento do objeto do contrato; </w:t>
      </w:r>
    </w:p>
    <w:p w:rsidR="00F55952" w:rsidRPr="00F55952" w:rsidRDefault="00F55952" w:rsidP="00F55952">
      <w:pPr>
        <w:pStyle w:val="PargrafodaLista"/>
        <w:numPr>
          <w:ilvl w:val="0"/>
          <w:numId w:val="12"/>
        </w:numPr>
        <w:tabs>
          <w:tab w:val="left" w:pos="1134"/>
        </w:tabs>
        <w:autoSpaceDE w:val="0"/>
        <w:snapToGrid w:val="0"/>
        <w:spacing w:line="360" w:lineRule="auto"/>
        <w:ind w:left="0" w:firstLine="0"/>
        <w:jc w:val="both"/>
        <w:rPr>
          <w:rFonts w:ascii="Arial" w:hAnsi="Arial" w:cs="Arial"/>
          <w:bCs/>
          <w:iCs/>
          <w:sz w:val="20"/>
        </w:rPr>
      </w:pPr>
      <w:proofErr w:type="gramStart"/>
      <w:r w:rsidRPr="00F55952">
        <w:rPr>
          <w:rFonts w:ascii="Arial" w:hAnsi="Arial" w:cs="Arial"/>
          <w:bCs/>
          <w:iCs/>
          <w:sz w:val="20"/>
        </w:rPr>
        <w:t>prejuízos</w:t>
      </w:r>
      <w:proofErr w:type="gramEnd"/>
      <w:r w:rsidRPr="00F55952">
        <w:rPr>
          <w:rFonts w:ascii="Arial" w:hAnsi="Arial" w:cs="Arial"/>
          <w:bCs/>
          <w:iCs/>
          <w:sz w:val="20"/>
        </w:rPr>
        <w:t xml:space="preserve"> diretos causados à Administração decorrentes de culpa ou dolo durante a ex</w:t>
      </w:r>
      <w:r w:rsidRPr="00F55952">
        <w:rPr>
          <w:rFonts w:ascii="Arial" w:hAnsi="Arial" w:cs="Arial"/>
          <w:bCs/>
          <w:iCs/>
          <w:sz w:val="20"/>
        </w:rPr>
        <w:t>e</w:t>
      </w:r>
      <w:r w:rsidRPr="00F55952">
        <w:rPr>
          <w:rFonts w:ascii="Arial" w:hAnsi="Arial" w:cs="Arial"/>
          <w:bCs/>
          <w:iCs/>
          <w:sz w:val="20"/>
        </w:rPr>
        <w:t>cução do contrato;</w:t>
      </w:r>
    </w:p>
    <w:p w:rsidR="00F55952" w:rsidRPr="00F55952" w:rsidRDefault="00F55952" w:rsidP="00F55952">
      <w:pPr>
        <w:pStyle w:val="PargrafodaLista"/>
        <w:numPr>
          <w:ilvl w:val="0"/>
          <w:numId w:val="12"/>
        </w:numPr>
        <w:tabs>
          <w:tab w:val="left" w:pos="1134"/>
        </w:tabs>
        <w:autoSpaceDE w:val="0"/>
        <w:snapToGrid w:val="0"/>
        <w:spacing w:line="360" w:lineRule="auto"/>
        <w:ind w:left="0" w:firstLine="0"/>
        <w:jc w:val="both"/>
        <w:rPr>
          <w:rFonts w:ascii="Arial" w:hAnsi="Arial" w:cs="Arial"/>
          <w:bCs/>
          <w:iCs/>
          <w:sz w:val="20"/>
        </w:rPr>
      </w:pPr>
      <w:proofErr w:type="gramStart"/>
      <w:r w:rsidRPr="00F55952">
        <w:rPr>
          <w:rFonts w:ascii="Arial" w:hAnsi="Arial" w:cs="Arial"/>
          <w:bCs/>
          <w:iCs/>
          <w:sz w:val="20"/>
        </w:rPr>
        <w:t>multas</w:t>
      </w:r>
      <w:proofErr w:type="gramEnd"/>
      <w:r w:rsidRPr="00F55952">
        <w:rPr>
          <w:rFonts w:ascii="Arial" w:hAnsi="Arial" w:cs="Arial"/>
          <w:bCs/>
          <w:iCs/>
          <w:sz w:val="20"/>
        </w:rPr>
        <w:t xml:space="preserve"> moratórias e punitivas aplicadas pela Administração à contratada; e  </w:t>
      </w:r>
    </w:p>
    <w:p w:rsidR="00F55952" w:rsidRPr="00F55952" w:rsidRDefault="00F55952" w:rsidP="00F55952">
      <w:pPr>
        <w:pStyle w:val="PargrafodaLista"/>
        <w:numPr>
          <w:ilvl w:val="0"/>
          <w:numId w:val="12"/>
        </w:numPr>
        <w:tabs>
          <w:tab w:val="left" w:pos="1134"/>
        </w:tabs>
        <w:autoSpaceDE w:val="0"/>
        <w:snapToGrid w:val="0"/>
        <w:spacing w:line="360" w:lineRule="auto"/>
        <w:ind w:left="0" w:firstLine="0"/>
        <w:jc w:val="both"/>
        <w:rPr>
          <w:rFonts w:ascii="Arial" w:hAnsi="Arial" w:cs="Arial"/>
          <w:bCs/>
          <w:iCs/>
          <w:sz w:val="20"/>
        </w:rPr>
      </w:pPr>
      <w:r w:rsidRPr="00F55952">
        <w:rPr>
          <w:rFonts w:ascii="Arial" w:hAnsi="Arial" w:cs="Arial"/>
          <w:bCs/>
          <w:iCs/>
          <w:sz w:val="20"/>
        </w:rPr>
        <w:t xml:space="preserve">d) </w:t>
      </w:r>
      <w:r w:rsidRPr="00F55952">
        <w:rPr>
          <w:rFonts w:ascii="Arial" w:hAnsi="Arial" w:cs="Arial"/>
          <w:bCs/>
          <w:iCs/>
          <w:sz w:val="20"/>
        </w:rPr>
        <w:t>obrigações trabalhistas e previdenciárias de qualquer natureza, não adimplidas pela contratada, quando couber.</w:t>
      </w:r>
    </w:p>
    <w:p w:rsidR="00F55952" w:rsidRPr="00F55952" w:rsidRDefault="00F55952" w:rsidP="00F55952">
      <w:pPr>
        <w:tabs>
          <w:tab w:val="left" w:pos="1134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A modalidade seguro-garantia somente será aceita se contemplar todos os eventos indic</w:t>
      </w:r>
      <w:r w:rsidRPr="00F55952">
        <w:rPr>
          <w:rFonts w:ascii="Arial" w:hAnsi="Arial" w:cs="Arial"/>
          <w:bCs/>
          <w:iCs/>
          <w:sz w:val="20"/>
          <w:szCs w:val="20"/>
        </w:rPr>
        <w:t>a</w:t>
      </w:r>
      <w:r w:rsidRPr="00F55952">
        <w:rPr>
          <w:rFonts w:ascii="Arial" w:hAnsi="Arial" w:cs="Arial"/>
          <w:bCs/>
          <w:iCs/>
          <w:sz w:val="20"/>
          <w:szCs w:val="20"/>
        </w:rPr>
        <w:t xml:space="preserve">dos no item anterior, mencionados no art. 19, </w:t>
      </w:r>
      <w:proofErr w:type="spellStart"/>
      <w:r w:rsidRPr="00F55952">
        <w:rPr>
          <w:rFonts w:ascii="Arial" w:hAnsi="Arial" w:cs="Arial"/>
          <w:bCs/>
          <w:iCs/>
          <w:sz w:val="20"/>
          <w:szCs w:val="20"/>
        </w:rPr>
        <w:t>XIX</w:t>
      </w:r>
      <w:proofErr w:type="spellEnd"/>
      <w:r w:rsidRPr="00F55952">
        <w:rPr>
          <w:rFonts w:ascii="Arial" w:hAnsi="Arial" w:cs="Arial"/>
          <w:bCs/>
          <w:iCs/>
          <w:sz w:val="20"/>
          <w:szCs w:val="20"/>
        </w:rPr>
        <w:t xml:space="preserve">, b da IN </w:t>
      </w:r>
      <w:proofErr w:type="spellStart"/>
      <w:r w:rsidRPr="00F55952">
        <w:rPr>
          <w:rFonts w:ascii="Arial" w:hAnsi="Arial" w:cs="Arial"/>
          <w:bCs/>
          <w:iCs/>
          <w:sz w:val="20"/>
          <w:szCs w:val="20"/>
        </w:rPr>
        <w:t>SLTI</w:t>
      </w:r>
      <w:proofErr w:type="spellEnd"/>
      <w:r w:rsidRPr="00F55952">
        <w:rPr>
          <w:rFonts w:ascii="Arial" w:hAnsi="Arial" w:cs="Arial"/>
          <w:bCs/>
          <w:iCs/>
          <w:sz w:val="20"/>
          <w:szCs w:val="20"/>
        </w:rPr>
        <w:t>/</w:t>
      </w:r>
      <w:proofErr w:type="spellStart"/>
      <w:r w:rsidRPr="00F55952">
        <w:rPr>
          <w:rFonts w:ascii="Arial" w:hAnsi="Arial" w:cs="Arial"/>
          <w:bCs/>
          <w:iCs/>
          <w:sz w:val="20"/>
          <w:szCs w:val="20"/>
        </w:rPr>
        <w:t>MPOG</w:t>
      </w:r>
      <w:proofErr w:type="spellEnd"/>
      <w:r w:rsidRPr="00F55952">
        <w:rPr>
          <w:rFonts w:ascii="Arial" w:hAnsi="Arial" w:cs="Arial"/>
          <w:bCs/>
          <w:iCs/>
          <w:sz w:val="20"/>
          <w:szCs w:val="20"/>
        </w:rPr>
        <w:t xml:space="preserve"> 02/2008, observada a l</w:t>
      </w:r>
      <w:r w:rsidRPr="00F55952">
        <w:rPr>
          <w:rFonts w:ascii="Arial" w:hAnsi="Arial" w:cs="Arial"/>
          <w:bCs/>
          <w:iCs/>
          <w:sz w:val="20"/>
          <w:szCs w:val="20"/>
        </w:rPr>
        <w:t>e</w:t>
      </w:r>
      <w:r w:rsidRPr="00F55952">
        <w:rPr>
          <w:rFonts w:ascii="Arial" w:hAnsi="Arial" w:cs="Arial"/>
          <w:bCs/>
          <w:iCs/>
          <w:sz w:val="20"/>
          <w:szCs w:val="20"/>
        </w:rPr>
        <w:t>gislação que rege a matéria.</w:t>
      </w:r>
    </w:p>
    <w:p w:rsidR="00F55952" w:rsidRPr="00F55952" w:rsidRDefault="00F55952" w:rsidP="00F55952">
      <w:pPr>
        <w:tabs>
          <w:tab w:val="left" w:pos="1134"/>
        </w:tabs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A garantia em dinheiro deverá ser efetuada em favor da Contratante, em conta espec</w:t>
      </w:r>
      <w:r w:rsidRPr="00F55952">
        <w:rPr>
          <w:rFonts w:ascii="Arial" w:hAnsi="Arial" w:cs="Arial"/>
          <w:bCs/>
          <w:iCs/>
          <w:sz w:val="20"/>
          <w:szCs w:val="20"/>
        </w:rPr>
        <w:t>í</w:t>
      </w:r>
      <w:r w:rsidRPr="00F55952">
        <w:rPr>
          <w:rFonts w:ascii="Arial" w:hAnsi="Arial" w:cs="Arial"/>
          <w:bCs/>
          <w:iCs/>
          <w:sz w:val="20"/>
          <w:szCs w:val="20"/>
        </w:rPr>
        <w:t xml:space="preserve">fica na Caixa Econômica Federal, com correção monetária. </w:t>
      </w:r>
    </w:p>
    <w:p w:rsidR="00F55952" w:rsidRPr="00F55952" w:rsidRDefault="00F55952" w:rsidP="00F55952">
      <w:pPr>
        <w:tabs>
          <w:tab w:val="left" w:pos="1134"/>
        </w:tabs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No caso de alteração do valor do contrato, ou prorrogação de sua vigência, a gara</w:t>
      </w:r>
      <w:r w:rsidRPr="00F55952">
        <w:rPr>
          <w:rFonts w:ascii="Arial" w:hAnsi="Arial" w:cs="Arial"/>
          <w:sz w:val="20"/>
          <w:szCs w:val="20"/>
        </w:rPr>
        <w:t>n</w:t>
      </w:r>
      <w:r w:rsidRPr="00F55952">
        <w:rPr>
          <w:rFonts w:ascii="Arial" w:hAnsi="Arial" w:cs="Arial"/>
          <w:sz w:val="20"/>
          <w:szCs w:val="20"/>
        </w:rPr>
        <w:t>tia deverá ser ajustada à nova situação ou renovada, seguindo os mesmos parâmetros utilizados quando da contr</w:t>
      </w:r>
      <w:r w:rsidRPr="00F55952">
        <w:rPr>
          <w:rFonts w:ascii="Arial" w:hAnsi="Arial" w:cs="Arial"/>
          <w:sz w:val="20"/>
          <w:szCs w:val="20"/>
        </w:rPr>
        <w:t>a</w:t>
      </w:r>
      <w:r w:rsidRPr="00F55952">
        <w:rPr>
          <w:rFonts w:ascii="Arial" w:hAnsi="Arial" w:cs="Arial"/>
          <w:sz w:val="20"/>
          <w:szCs w:val="20"/>
        </w:rPr>
        <w:t xml:space="preserve">tação. </w:t>
      </w:r>
    </w:p>
    <w:p w:rsidR="00F55952" w:rsidRPr="00F55952" w:rsidRDefault="00F55952" w:rsidP="00F55952">
      <w:pPr>
        <w:tabs>
          <w:tab w:val="left" w:pos="1134"/>
        </w:tabs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Se o valor da garantia for utilizado total ou parcialmente em pagamento de qualquer obrig</w:t>
      </w:r>
      <w:r w:rsidRPr="00F55952">
        <w:rPr>
          <w:rFonts w:ascii="Arial" w:hAnsi="Arial" w:cs="Arial"/>
          <w:bCs/>
          <w:iCs/>
          <w:sz w:val="20"/>
          <w:szCs w:val="20"/>
        </w:rPr>
        <w:t>a</w:t>
      </w:r>
      <w:r w:rsidRPr="00F55952">
        <w:rPr>
          <w:rFonts w:ascii="Arial" w:hAnsi="Arial" w:cs="Arial"/>
          <w:bCs/>
          <w:iCs/>
          <w:sz w:val="20"/>
          <w:szCs w:val="20"/>
        </w:rPr>
        <w:t>ção, a Contratada obriga-se a fazer a respectiva reposição no prazo máximo de 05 (cinco) dias úteis, cont</w:t>
      </w:r>
      <w:r w:rsidRPr="00F55952">
        <w:rPr>
          <w:rFonts w:ascii="Arial" w:hAnsi="Arial" w:cs="Arial"/>
          <w:bCs/>
          <w:iCs/>
          <w:sz w:val="20"/>
          <w:szCs w:val="20"/>
        </w:rPr>
        <w:t>a</w:t>
      </w:r>
      <w:r w:rsidRPr="00F55952">
        <w:rPr>
          <w:rFonts w:ascii="Arial" w:hAnsi="Arial" w:cs="Arial"/>
          <w:bCs/>
          <w:iCs/>
          <w:sz w:val="20"/>
          <w:szCs w:val="20"/>
        </w:rPr>
        <w:t>dos da data em que for notificada.</w:t>
      </w:r>
    </w:p>
    <w:p w:rsidR="00F55952" w:rsidRPr="00F55952" w:rsidRDefault="00F55952" w:rsidP="00F55952">
      <w:pPr>
        <w:tabs>
          <w:tab w:val="left" w:pos="1134"/>
        </w:tabs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A Contratante executará a garantia na forma prevista na legislação que rege a mat</w:t>
      </w:r>
      <w:r w:rsidRPr="00F55952">
        <w:rPr>
          <w:rFonts w:ascii="Arial" w:hAnsi="Arial" w:cs="Arial"/>
          <w:bCs/>
          <w:iCs/>
          <w:sz w:val="20"/>
          <w:szCs w:val="20"/>
        </w:rPr>
        <w:t>é</w:t>
      </w:r>
      <w:r w:rsidRPr="00F55952">
        <w:rPr>
          <w:rFonts w:ascii="Arial" w:hAnsi="Arial" w:cs="Arial"/>
          <w:bCs/>
          <w:iCs/>
          <w:sz w:val="20"/>
          <w:szCs w:val="20"/>
        </w:rPr>
        <w:t>ria.</w:t>
      </w:r>
    </w:p>
    <w:p w:rsidR="00F55952" w:rsidRPr="00F55952" w:rsidRDefault="00F55952" w:rsidP="00F55952">
      <w:pPr>
        <w:tabs>
          <w:tab w:val="left" w:pos="1134"/>
        </w:tabs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F55952">
        <w:rPr>
          <w:rFonts w:ascii="Arial" w:hAnsi="Arial" w:cs="Arial"/>
          <w:bCs/>
          <w:iCs/>
          <w:sz w:val="20"/>
          <w:szCs w:val="20"/>
        </w:rPr>
        <w:t>Será considerada extinta a garantia:</w:t>
      </w:r>
    </w:p>
    <w:p w:rsidR="00F55952" w:rsidRPr="00F55952" w:rsidRDefault="00F55952" w:rsidP="00F55952">
      <w:pPr>
        <w:pStyle w:val="PargrafodaLista"/>
        <w:numPr>
          <w:ilvl w:val="0"/>
          <w:numId w:val="13"/>
        </w:numPr>
        <w:tabs>
          <w:tab w:val="left" w:pos="1134"/>
        </w:tabs>
        <w:snapToGrid w:val="0"/>
        <w:spacing w:line="360" w:lineRule="auto"/>
        <w:ind w:left="0" w:firstLine="0"/>
        <w:jc w:val="both"/>
        <w:rPr>
          <w:rFonts w:ascii="Arial" w:hAnsi="Arial" w:cs="Arial"/>
          <w:bCs/>
          <w:iCs/>
          <w:sz w:val="20"/>
        </w:rPr>
      </w:pPr>
      <w:proofErr w:type="gramStart"/>
      <w:r w:rsidRPr="00F55952">
        <w:rPr>
          <w:rFonts w:ascii="Arial" w:hAnsi="Arial" w:cs="Arial"/>
          <w:bCs/>
          <w:iCs/>
          <w:sz w:val="20"/>
        </w:rPr>
        <w:t>com</w:t>
      </w:r>
      <w:proofErr w:type="gramEnd"/>
      <w:r w:rsidRPr="00F55952">
        <w:rPr>
          <w:rFonts w:ascii="Arial" w:hAnsi="Arial" w:cs="Arial"/>
          <w:bCs/>
          <w:iCs/>
          <w:sz w:val="20"/>
        </w:rPr>
        <w:t xml:space="preserve"> a devolução da apólice, carta fiança ou autorização para o levantamento de impo</w:t>
      </w:r>
      <w:r w:rsidRPr="00F55952">
        <w:rPr>
          <w:rFonts w:ascii="Arial" w:hAnsi="Arial" w:cs="Arial"/>
          <w:bCs/>
          <w:iCs/>
          <w:sz w:val="20"/>
        </w:rPr>
        <w:t>r</w:t>
      </w:r>
      <w:r w:rsidRPr="00F55952">
        <w:rPr>
          <w:rFonts w:ascii="Arial" w:hAnsi="Arial" w:cs="Arial"/>
          <w:bCs/>
          <w:iCs/>
          <w:sz w:val="20"/>
        </w:rPr>
        <w:t>tâncias depositadas em dinheiro a título de garantia, acompanhada de declaração da Contratante, mediante termo circunstanciado, de que a Contratada cumpriu todas as cláusulas do co</w:t>
      </w:r>
      <w:r w:rsidRPr="00F55952">
        <w:rPr>
          <w:rFonts w:ascii="Arial" w:hAnsi="Arial" w:cs="Arial"/>
          <w:bCs/>
          <w:iCs/>
          <w:sz w:val="20"/>
        </w:rPr>
        <w:t>n</w:t>
      </w:r>
      <w:r w:rsidRPr="00F55952">
        <w:rPr>
          <w:rFonts w:ascii="Arial" w:hAnsi="Arial" w:cs="Arial"/>
          <w:bCs/>
          <w:iCs/>
          <w:sz w:val="20"/>
        </w:rPr>
        <w:t>trato;</w:t>
      </w:r>
    </w:p>
    <w:p w:rsidR="00F55952" w:rsidRPr="00F55952" w:rsidRDefault="00F55952" w:rsidP="00F55952">
      <w:pPr>
        <w:pStyle w:val="PargrafodaLista"/>
        <w:numPr>
          <w:ilvl w:val="0"/>
          <w:numId w:val="13"/>
        </w:numPr>
        <w:suppressAutoHyphens/>
        <w:spacing w:line="360" w:lineRule="auto"/>
        <w:ind w:left="0" w:firstLine="0"/>
        <w:jc w:val="both"/>
        <w:rPr>
          <w:rFonts w:ascii="Arial" w:hAnsi="Arial" w:cs="Arial"/>
          <w:sz w:val="20"/>
          <w:u w:val="single"/>
        </w:rPr>
      </w:pPr>
      <w:proofErr w:type="gramStart"/>
      <w:r w:rsidRPr="00F55952">
        <w:rPr>
          <w:rFonts w:ascii="Arial" w:hAnsi="Arial" w:cs="Arial"/>
          <w:bCs/>
          <w:iCs/>
          <w:sz w:val="20"/>
        </w:rPr>
        <w:t>no</w:t>
      </w:r>
      <w:proofErr w:type="gramEnd"/>
      <w:r w:rsidRPr="00F55952">
        <w:rPr>
          <w:rFonts w:ascii="Arial" w:hAnsi="Arial" w:cs="Arial"/>
          <w:bCs/>
          <w:iCs/>
          <w:sz w:val="20"/>
        </w:rPr>
        <w:t xml:space="preserve"> prazo de três meses após o término da vigência, caso a Contratante não comunique a ocorrência de sinistros.</w:t>
      </w:r>
    </w:p>
    <w:p w:rsidR="00F55952" w:rsidRPr="00F55952" w:rsidRDefault="00F55952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 xml:space="preserve">CLÁUSULA </w:t>
      </w:r>
      <w:r w:rsidR="00F55952" w:rsidRPr="00F55952">
        <w:rPr>
          <w:rFonts w:ascii="Arial" w:hAnsi="Arial" w:cs="Arial"/>
          <w:b/>
          <w:sz w:val="20"/>
          <w:szCs w:val="20"/>
          <w:u w:val="single"/>
        </w:rPr>
        <w:t>DÉCIMA PRIMEIRA</w:t>
      </w:r>
      <w:r w:rsidRPr="00F55952">
        <w:rPr>
          <w:rFonts w:ascii="Arial" w:hAnsi="Arial" w:cs="Arial"/>
          <w:sz w:val="20"/>
          <w:szCs w:val="20"/>
        </w:rPr>
        <w:t xml:space="preserve"> – </w:t>
      </w:r>
      <w:r w:rsidRPr="00F55952">
        <w:rPr>
          <w:rFonts w:ascii="Arial" w:hAnsi="Arial" w:cs="Arial"/>
          <w:b/>
          <w:sz w:val="20"/>
          <w:szCs w:val="20"/>
        </w:rPr>
        <w:t xml:space="preserve">Do </w:t>
      </w:r>
      <w:r w:rsidR="00CA4216" w:rsidRPr="00F55952">
        <w:rPr>
          <w:rFonts w:ascii="Arial" w:hAnsi="Arial" w:cs="Arial"/>
          <w:b/>
          <w:sz w:val="20"/>
          <w:szCs w:val="20"/>
        </w:rPr>
        <w:t>F</w:t>
      </w:r>
      <w:r w:rsidRPr="00F55952">
        <w:rPr>
          <w:rFonts w:ascii="Arial" w:hAnsi="Arial" w:cs="Arial"/>
          <w:b/>
          <w:sz w:val="20"/>
          <w:szCs w:val="20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</w:t>
      </w:r>
      <w:proofErr w:type="gramStart"/>
      <w:r w:rsidRPr="009F7D35">
        <w:rPr>
          <w:rFonts w:ascii="Arial" w:hAnsi="Arial" w:cs="Arial"/>
          <w:sz w:val="20"/>
          <w:szCs w:val="24"/>
        </w:rPr>
        <w:t>seja,</w:t>
      </w:r>
      <w:proofErr w:type="gramEnd"/>
      <w:r w:rsidRPr="009F7D35">
        <w:rPr>
          <w:rFonts w:ascii="Arial" w:hAnsi="Arial" w:cs="Arial"/>
          <w:sz w:val="20"/>
          <w:szCs w:val="24"/>
        </w:rPr>
        <w:t xml:space="preserve">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9F7D35">
        <w:rPr>
          <w:rFonts w:ascii="Arial" w:hAnsi="Arial" w:cs="Arial"/>
          <w:sz w:val="20"/>
          <w:szCs w:val="24"/>
        </w:rPr>
        <w:t>de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284"/>
      </w:tblGrid>
      <w:tr w:rsidR="00CA4216" w:rsidRPr="009F7D35" w:rsidTr="00414A36">
        <w:tc>
          <w:tcPr>
            <w:tcW w:w="4644" w:type="dxa"/>
            <w:vAlign w:val="center"/>
          </w:tcPr>
          <w:p w:rsidR="00CD2FA5" w:rsidRDefault="00CD2FA5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9F7D35">
              <w:rPr>
                <w:rFonts w:ascii="Arial" w:hAnsi="Arial" w:cs="Arial"/>
                <w:b/>
                <w:sz w:val="18"/>
              </w:rPr>
              <w:t>MARGARETH DE FÁTIMA FORMIGA MELO</w:t>
            </w:r>
            <w:proofErr w:type="gramEnd"/>
            <w:r w:rsidRPr="009F7D35">
              <w:rPr>
                <w:rFonts w:ascii="Arial" w:hAnsi="Arial" w:cs="Arial"/>
                <w:b/>
                <w:sz w:val="18"/>
              </w:rPr>
              <w:t xml:space="preserve">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1</w:t>
            </w:r>
            <w:proofErr w:type="gramEnd"/>
            <w:r w:rsidRPr="009F7D35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2</w:t>
            </w:r>
            <w:proofErr w:type="gramEnd"/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CD2FA5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37" w:rsidRDefault="00025937">
      <w:pPr>
        <w:spacing w:after="0" w:line="240" w:lineRule="auto"/>
      </w:pPr>
      <w:r>
        <w:separator/>
      </w:r>
    </w:p>
  </w:endnote>
  <w:endnote w:type="continuationSeparator" w:id="0">
    <w:p w:rsidR="00025937" w:rsidRDefault="0002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F55952">
      <w:rPr>
        <w:rStyle w:val="Nmerodepgina"/>
        <w:i/>
        <w:noProof/>
        <w:sz w:val="18"/>
        <w:szCs w:val="18"/>
      </w:rPr>
      <w:t>2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F55952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37" w:rsidRDefault="00025937">
      <w:pPr>
        <w:spacing w:after="0" w:line="240" w:lineRule="auto"/>
      </w:pPr>
      <w:r>
        <w:separator/>
      </w:r>
    </w:p>
  </w:footnote>
  <w:footnote w:type="continuationSeparator" w:id="0">
    <w:p w:rsidR="00025937" w:rsidRDefault="0002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A165DB" w:rsidRDefault="00F55952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60241106" r:id="rId2"/>
      </w:pict>
    </w:r>
    <w:r w:rsidR="007756C5" w:rsidRPr="00A165DB">
      <w:rPr>
        <w:i/>
        <w:sz w:val="16"/>
        <w:szCs w:val="16"/>
      </w:rPr>
      <w:t>UNIVERSIDADE FEDERAL DA</w:t>
    </w:r>
    <w:r w:rsidR="00CD2FA5">
      <w:rPr>
        <w:i/>
        <w:sz w:val="16"/>
        <w:szCs w:val="16"/>
      </w:rPr>
      <w:t xml:space="preserve"> </w:t>
    </w:r>
    <w:r w:rsidR="007756C5" w:rsidRPr="00A165DB">
      <w:rPr>
        <w:i/>
        <w:sz w:val="16"/>
        <w:szCs w:val="16"/>
      </w:rPr>
      <w:t>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</w:t>
    </w:r>
    <w:proofErr w:type="spellStart"/>
    <w:r w:rsidRPr="00A165DB">
      <w:rPr>
        <w:i/>
        <w:sz w:val="16"/>
        <w:szCs w:val="16"/>
      </w:rPr>
      <w:t>PU</w:t>
    </w:r>
    <w:proofErr w:type="spellEnd"/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</w:t>
    </w:r>
    <w:proofErr w:type="spellStart"/>
    <w:r w:rsidRPr="002B768A">
      <w:rPr>
        <w:i/>
        <w:sz w:val="16"/>
        <w:szCs w:val="16"/>
      </w:rPr>
      <w:t>CPL</w:t>
    </w:r>
    <w:proofErr w:type="spellEnd"/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 xml:space="preserve">ANEXO </w:t>
    </w:r>
    <w:proofErr w:type="spellStart"/>
    <w:r>
      <w:rPr>
        <w:i/>
        <w:sz w:val="16"/>
        <w:szCs w:val="16"/>
      </w:rPr>
      <w:t>I</w:t>
    </w:r>
    <w:r w:rsidR="004F49D3">
      <w:rPr>
        <w:i/>
        <w:sz w:val="16"/>
        <w:szCs w:val="16"/>
      </w:rPr>
      <w:t>V</w:t>
    </w:r>
    <w:proofErr w:type="spellEnd"/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527C623" wp14:editId="11E91864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C" w:rsidRPr="00A3498A" w:rsidRDefault="00DA324C" w:rsidP="00DA324C"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1C2447DE" wp14:editId="36E5BF27">
          <wp:simplePos x="0" y="0"/>
          <wp:positionH relativeFrom="column">
            <wp:posOffset>2453640</wp:posOffset>
          </wp:positionH>
          <wp:positionV relativeFrom="paragraph">
            <wp:posOffset>-215265</wp:posOffset>
          </wp:positionV>
          <wp:extent cx="771525" cy="819150"/>
          <wp:effectExtent l="0" t="0" r="9525" b="0"/>
          <wp:wrapNone/>
          <wp:docPr id="2" name="Imagem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324C" w:rsidRPr="001D2E94" w:rsidRDefault="00DA324C" w:rsidP="00DA324C">
    <w:pPr>
      <w:rPr>
        <w:noProof/>
      </w:rPr>
    </w:pPr>
  </w:p>
  <w:p w:rsidR="00DA324C" w:rsidRPr="00DA324C" w:rsidRDefault="00DA324C" w:rsidP="00DA324C">
    <w:pPr>
      <w:pStyle w:val="xl49"/>
      <w:spacing w:before="0" w:after="0" w:line="360" w:lineRule="auto"/>
      <w:rPr>
        <w:rFonts w:ascii="Times New Roman" w:hAnsi="Times New Roman"/>
        <w:noProof/>
        <w:szCs w:val="24"/>
      </w:rPr>
    </w:pPr>
    <w:r w:rsidRPr="00DA324C">
      <w:rPr>
        <w:rFonts w:ascii="Times New Roman" w:hAnsi="Times New Roman"/>
        <w:noProof/>
        <w:szCs w:val="24"/>
      </w:rPr>
      <w:t>MINISTÉRIO DA EDUCAÇÃO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UNIVERSIDADE FEDERAL DA PARAÍBA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PREFEITURA UNIVERSITÁRIA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COMISSÃO PERMANENTE DE LICITAÇÃO</w:t>
    </w: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B2BFA3" wp14:editId="1E6E8916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0CD29F8"/>
    <w:multiLevelType w:val="hybridMultilevel"/>
    <w:tmpl w:val="752E03D0"/>
    <w:lvl w:ilvl="0" w:tplc="04160019">
      <w:start w:val="1"/>
      <w:numFmt w:val="lowerLetter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40088E"/>
    <w:multiLevelType w:val="multilevel"/>
    <w:tmpl w:val="3A1250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192409"/>
    <w:multiLevelType w:val="multilevel"/>
    <w:tmpl w:val="580404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5A10E4B"/>
    <w:multiLevelType w:val="hybridMultilevel"/>
    <w:tmpl w:val="18364B80"/>
    <w:lvl w:ilvl="0" w:tplc="61F0C3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8F0991"/>
    <w:multiLevelType w:val="multilevel"/>
    <w:tmpl w:val="580404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>
    <w:nsid w:val="6C3C0CC6"/>
    <w:multiLevelType w:val="hybridMultilevel"/>
    <w:tmpl w:val="4E940B3A"/>
    <w:lvl w:ilvl="0" w:tplc="6B52A2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28232B8"/>
    <w:multiLevelType w:val="multilevel"/>
    <w:tmpl w:val="D8526E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47"/>
    <w:rsid w:val="0002593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C3FE7"/>
    <w:rsid w:val="001C4A3A"/>
    <w:rsid w:val="0023450A"/>
    <w:rsid w:val="002374FF"/>
    <w:rsid w:val="002541C6"/>
    <w:rsid w:val="00294789"/>
    <w:rsid w:val="002B74E7"/>
    <w:rsid w:val="002C1143"/>
    <w:rsid w:val="002E4D18"/>
    <w:rsid w:val="003A0382"/>
    <w:rsid w:val="00406ACB"/>
    <w:rsid w:val="00414A36"/>
    <w:rsid w:val="004214F8"/>
    <w:rsid w:val="0048532B"/>
    <w:rsid w:val="004A0D31"/>
    <w:rsid w:val="004B3387"/>
    <w:rsid w:val="004F49D3"/>
    <w:rsid w:val="00521643"/>
    <w:rsid w:val="00561FD4"/>
    <w:rsid w:val="005757FF"/>
    <w:rsid w:val="005B4C1E"/>
    <w:rsid w:val="005E0927"/>
    <w:rsid w:val="00631B6C"/>
    <w:rsid w:val="0064319D"/>
    <w:rsid w:val="0064603A"/>
    <w:rsid w:val="00766A53"/>
    <w:rsid w:val="007756C5"/>
    <w:rsid w:val="007B5A3F"/>
    <w:rsid w:val="007D5B89"/>
    <w:rsid w:val="007F3610"/>
    <w:rsid w:val="008274BB"/>
    <w:rsid w:val="008A1437"/>
    <w:rsid w:val="008A6620"/>
    <w:rsid w:val="008F3748"/>
    <w:rsid w:val="00956C3D"/>
    <w:rsid w:val="009950A9"/>
    <w:rsid w:val="009F7D35"/>
    <w:rsid w:val="00A162D6"/>
    <w:rsid w:val="00A258B4"/>
    <w:rsid w:val="00A677CE"/>
    <w:rsid w:val="00AA1B1A"/>
    <w:rsid w:val="00AD3A98"/>
    <w:rsid w:val="00AE5196"/>
    <w:rsid w:val="00B07C96"/>
    <w:rsid w:val="00B17352"/>
    <w:rsid w:val="00BD5DAF"/>
    <w:rsid w:val="00C256F1"/>
    <w:rsid w:val="00C5432A"/>
    <w:rsid w:val="00C557DF"/>
    <w:rsid w:val="00C569B4"/>
    <w:rsid w:val="00CA4216"/>
    <w:rsid w:val="00CC0235"/>
    <w:rsid w:val="00CD2FA5"/>
    <w:rsid w:val="00D20278"/>
    <w:rsid w:val="00D4436F"/>
    <w:rsid w:val="00D870E7"/>
    <w:rsid w:val="00D964A8"/>
    <w:rsid w:val="00DA324C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55952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757FF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757FF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2032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Cidal</cp:lastModifiedBy>
  <cp:revision>12</cp:revision>
  <cp:lastPrinted>2017-05-31T13:07:00Z</cp:lastPrinted>
  <dcterms:created xsi:type="dcterms:W3CDTF">2017-03-02T14:57:00Z</dcterms:created>
  <dcterms:modified xsi:type="dcterms:W3CDTF">2017-06-29T14:32:00Z</dcterms:modified>
</cp:coreProperties>
</file>