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06" w:rsidRPr="00D265BD" w:rsidRDefault="00A50A06" w:rsidP="0081116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265BD">
        <w:rPr>
          <w:rFonts w:ascii="Times New Roman" w:hAnsi="Times New Roman" w:cs="Times New Roman"/>
          <w:b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u w:val="single"/>
        </w:rPr>
        <w:t>21</w:t>
      </w:r>
      <w:r w:rsidRPr="00D265BD">
        <w:rPr>
          <w:rFonts w:ascii="Times New Roman" w:hAnsi="Times New Roman" w:cs="Times New Roman"/>
          <w:b/>
          <w:u w:val="single"/>
        </w:rPr>
        <w:t>/2016</w:t>
      </w:r>
    </w:p>
    <w:p w:rsidR="00A50A06" w:rsidRDefault="00A50A06" w:rsidP="0081116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265BD">
        <w:rPr>
          <w:rFonts w:ascii="Times New Roman" w:hAnsi="Times New Roman" w:cs="Times New Roman"/>
          <w:b/>
          <w:u w:val="single"/>
        </w:rPr>
        <w:t>PROCESSO ADMINISTRATIVO Nº 23074.</w:t>
      </w:r>
      <w:r>
        <w:rPr>
          <w:rFonts w:ascii="Times New Roman" w:hAnsi="Times New Roman" w:cs="Times New Roman"/>
          <w:b/>
          <w:u w:val="single"/>
        </w:rPr>
        <w:t>049278</w:t>
      </w:r>
      <w:r w:rsidRPr="00D265BD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6</w:t>
      </w:r>
      <w:r w:rsidRPr="00D265BD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92</w:t>
      </w:r>
    </w:p>
    <w:p w:rsidR="00A50A06" w:rsidRPr="00A50A06" w:rsidRDefault="00A50A06" w:rsidP="0081116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50A06">
        <w:rPr>
          <w:rFonts w:ascii="Times New Roman" w:hAnsi="Times New Roman" w:cs="Times New Roman"/>
          <w:b/>
          <w:bCs/>
          <w:color w:val="000000"/>
          <w:u w:val="single"/>
        </w:rPr>
        <w:t>ANEXO I</w:t>
      </w:r>
    </w:p>
    <w:p w:rsidR="001E14AF" w:rsidRPr="00A50A06" w:rsidRDefault="001E14AF" w:rsidP="0081116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50A06">
        <w:rPr>
          <w:rFonts w:ascii="Times New Roman" w:hAnsi="Times New Roman" w:cs="Times New Roman"/>
          <w:b/>
          <w:bCs/>
          <w:color w:val="000000"/>
          <w:u w:val="single"/>
        </w:rPr>
        <w:t>TERMO DE REFERÊNCIA</w:t>
      </w:r>
    </w:p>
    <w:p w:rsidR="001E14AF" w:rsidRPr="00AD750E" w:rsidRDefault="001E14AF" w:rsidP="0081116E">
      <w:pPr>
        <w:spacing w:line="360" w:lineRule="auto"/>
        <w:ind w:right="-15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AD750E">
        <w:rPr>
          <w:rFonts w:ascii="Times New Roman" w:hAnsi="Times New Roman" w:cs="Times New Roman"/>
          <w:b/>
          <w:color w:val="000000"/>
        </w:rPr>
        <w:t>DO OBJETO</w:t>
      </w:r>
    </w:p>
    <w:p w:rsidR="0011425F" w:rsidRPr="00AD750E" w:rsidRDefault="0011425F" w:rsidP="0011425F">
      <w:pPr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Pr="001B4352" w:rsidRDefault="00AD750E" w:rsidP="0081116E">
      <w:pPr>
        <w:numPr>
          <w:ilvl w:val="1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b/>
        </w:rPr>
      </w:pPr>
      <w:r w:rsidRPr="001B4352">
        <w:rPr>
          <w:rFonts w:ascii="Times New Roman" w:hAnsi="Times New Roman" w:cs="Times New Roman"/>
          <w:b/>
        </w:rPr>
        <w:t xml:space="preserve">O objeto da presente licitação é </w:t>
      </w:r>
      <w:r w:rsidR="001B4352" w:rsidRPr="001B4352">
        <w:rPr>
          <w:rFonts w:ascii="Times New Roman" w:hAnsi="Times New Roman" w:cs="Times New Roman"/>
          <w:b/>
        </w:rPr>
        <w:t xml:space="preserve">o REGISTRO DE PREÇOS PARA EVENTUAL AQUISIÇÃO </w:t>
      </w:r>
      <w:r w:rsidR="00B41552" w:rsidRPr="001B4352">
        <w:rPr>
          <w:rFonts w:ascii="Times New Roman" w:hAnsi="Times New Roman" w:cs="Times New Roman"/>
          <w:b/>
        </w:rPr>
        <w:t xml:space="preserve">DE MATERIAIS DE LIMPEZA DESTINADOS A ATENDER ÀS DEMANDAS DA UNIVERSIDADE FEDERAL DA PARAÍBA </w:t>
      </w:r>
      <w:r w:rsidR="00E650CB" w:rsidRPr="001B4352">
        <w:rPr>
          <w:rFonts w:ascii="Times New Roman" w:hAnsi="Times New Roman" w:cs="Times New Roman"/>
          <w:b/>
        </w:rPr>
        <w:t>–</w:t>
      </w:r>
      <w:r w:rsidR="00B41552" w:rsidRPr="001B4352">
        <w:rPr>
          <w:rFonts w:ascii="Times New Roman" w:hAnsi="Times New Roman" w:cs="Times New Roman"/>
          <w:b/>
        </w:rPr>
        <w:t xml:space="preserve"> UFPB</w:t>
      </w:r>
      <w:r w:rsidR="00E650CB" w:rsidRPr="001B4352">
        <w:rPr>
          <w:rFonts w:ascii="Times New Roman" w:hAnsi="Times New Roman" w:cs="Times New Roman"/>
          <w:b/>
        </w:rPr>
        <w:t xml:space="preserve"> – C</w:t>
      </w:r>
      <w:r w:rsidR="001B4352" w:rsidRPr="001B4352">
        <w:rPr>
          <w:rFonts w:ascii="Times New Roman" w:hAnsi="Times New Roman" w:cs="Times New Roman"/>
          <w:b/>
        </w:rPr>
        <w:t>A</w:t>
      </w:r>
      <w:r w:rsidR="00E650CB" w:rsidRPr="001B4352">
        <w:rPr>
          <w:rFonts w:ascii="Times New Roman" w:hAnsi="Times New Roman" w:cs="Times New Roman"/>
          <w:b/>
        </w:rPr>
        <w:t>MPUS I</w:t>
      </w:r>
      <w:r w:rsidR="001E14AF" w:rsidRPr="001B4352">
        <w:rPr>
          <w:rFonts w:ascii="Times New Roman" w:hAnsi="Times New Roman" w:cs="Times New Roman"/>
          <w:b/>
        </w:rPr>
        <w:t>, c</w:t>
      </w:r>
      <w:r w:rsidR="005C04BF" w:rsidRPr="001B4352">
        <w:rPr>
          <w:rFonts w:ascii="Times New Roman" w:hAnsi="Times New Roman" w:cs="Times New Roman"/>
          <w:b/>
        </w:rPr>
        <w:t>onforme condições, quantidades,</w:t>
      </w:r>
      <w:r w:rsidR="001E14AF" w:rsidRPr="001B4352">
        <w:rPr>
          <w:rFonts w:ascii="Times New Roman" w:hAnsi="Times New Roman" w:cs="Times New Roman"/>
          <w:b/>
        </w:rPr>
        <w:t xml:space="preserve"> exigências </w:t>
      </w:r>
      <w:r w:rsidR="00B41552" w:rsidRPr="001B4352">
        <w:rPr>
          <w:rFonts w:ascii="Times New Roman" w:hAnsi="Times New Roman" w:cs="Times New Roman"/>
          <w:b/>
        </w:rPr>
        <w:t>e estimativas</w:t>
      </w:r>
      <w:r w:rsidR="005C04BF" w:rsidRPr="001B4352">
        <w:rPr>
          <w:rFonts w:ascii="Times New Roman" w:hAnsi="Times New Roman" w:cs="Times New Roman"/>
          <w:b/>
        </w:rPr>
        <w:t xml:space="preserve"> </w:t>
      </w:r>
      <w:r w:rsidR="00783DC8" w:rsidRPr="001B4352">
        <w:rPr>
          <w:rFonts w:ascii="Times New Roman" w:hAnsi="Times New Roman" w:cs="Times New Roman"/>
          <w:b/>
        </w:rPr>
        <w:t xml:space="preserve">estabelecidas </w:t>
      </w:r>
      <w:r w:rsidR="001B4352" w:rsidRPr="001B4352">
        <w:rPr>
          <w:rFonts w:ascii="Times New Roman" w:hAnsi="Times New Roman" w:cs="Times New Roman"/>
          <w:b/>
        </w:rPr>
        <w:t xml:space="preserve">no Edital e em todos os seus anexos, inclusive </w:t>
      </w:r>
      <w:r w:rsidR="001E14AF" w:rsidRPr="001B4352">
        <w:rPr>
          <w:rFonts w:ascii="Times New Roman" w:hAnsi="Times New Roman" w:cs="Times New Roman"/>
          <w:b/>
        </w:rPr>
        <w:t>neste instrumento:</w:t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4111"/>
        <w:gridCol w:w="709"/>
        <w:gridCol w:w="859"/>
        <w:gridCol w:w="992"/>
        <w:gridCol w:w="1262"/>
      </w:tblGrid>
      <w:tr w:rsidR="00CD1845" w:rsidRPr="00BA2349" w:rsidTr="0011425F">
        <w:trPr>
          <w:cantSplit/>
          <w:trHeight w:val="510"/>
        </w:trPr>
        <w:tc>
          <w:tcPr>
            <w:tcW w:w="411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378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410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Unid.</w:t>
            </w:r>
          </w:p>
        </w:tc>
        <w:tc>
          <w:tcPr>
            <w:tcW w:w="497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574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Unit.</w:t>
            </w:r>
          </w:p>
        </w:tc>
        <w:tc>
          <w:tcPr>
            <w:tcW w:w="730" w:type="pct"/>
            <w:shd w:val="clear" w:color="000000" w:fill="95B3D7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D1845" w:rsidRPr="00BA2349" w:rsidTr="0011425F">
        <w:trPr>
          <w:cantSplit/>
          <w:trHeight w:val="81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3C1651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Água sanitária 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acondicionada em embalagem plástica. Prazo de validade não inferior a 12 (doze) meses a contar da data de entrega pelo fornecedor. Marca registrada. Embalagem 1 litro.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R$ 2,94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R$ 2.940,00</w:t>
            </w:r>
          </w:p>
        </w:tc>
      </w:tr>
      <w:tr w:rsidR="00CD1845" w:rsidRPr="00BA2349" w:rsidTr="0011425F">
        <w:trPr>
          <w:cantSplit/>
          <w:trHeight w:val="99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3C1651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Álcool etílico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 hidratado (líquido) para fins saneantes acondicionado em embalagem plástica de 1 litro. Prazo de validade não inferior a 12 (doze) meses a contar da data de entrega pelo fornecedor. Marca registrada. 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R$ 6,60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R$ 6.596,67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3C1651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Álcool etílico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 hidratado </w:t>
            </w:r>
            <w:proofErr w:type="spellStart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sanitizante</w:t>
            </w:r>
            <w:proofErr w:type="spellEnd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 (antibactericida) à base de gel com graduação a 70% (70</w:t>
            </w:r>
            <w:proofErr w:type="gramStart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¨gl</w:t>
            </w:r>
            <w:proofErr w:type="gramEnd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), acondicionado em embalagem plástica com alça, tampa e bico dosador.  Aplicação: higienização (assepsia ou desinfecção) das mãos sem uso de água para uso em </w:t>
            </w:r>
            <w:proofErr w:type="spellStart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dispenser</w:t>
            </w:r>
            <w:proofErr w:type="spellEnd"/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. Prazo de validade não inferior a 12 (doze) meses a contar da data de entrega pelo fornecedor. Marca registrada. Embalagem 1 litro.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R$ 7,83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R$ 7.833,33</w:t>
            </w:r>
          </w:p>
        </w:tc>
      </w:tr>
      <w:tr w:rsidR="003C1651" w:rsidRPr="00BA2349" w:rsidTr="0011425F">
        <w:trPr>
          <w:cantSplit/>
          <w:trHeight w:val="99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3C1651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Cera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 polimento piso, cera</w:t>
            </w: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líquida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 xml:space="preserve"> para assoalho,</w:t>
            </w:r>
            <w:r w:rsidRPr="003C1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incolor</w:t>
            </w:r>
            <w:r w:rsidRPr="003C1651">
              <w:rPr>
                <w:rFonts w:ascii="Times New Roman" w:hAnsi="Times New Roman" w:cs="Times New Roman"/>
                <w:sz w:val="20"/>
                <w:szCs w:val="20"/>
              </w:rPr>
              <w:t>. Prazo de validade não inferior a 12 (doze) meses a contar da data de entrega pelo fornecedor. Marca registrada.  (Embalagem com 1 litro)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R$ 8,19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R$ 4.096,67</w:t>
            </w:r>
          </w:p>
        </w:tc>
      </w:tr>
      <w:tr w:rsidR="003C1651" w:rsidRPr="00BA2349" w:rsidTr="0011425F">
        <w:trPr>
          <w:cantSplit/>
          <w:trHeight w:val="30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Cloro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alvejante, aspecto físico líquido. Embalagem 1 litro.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R$ 4,70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R$ 940,00</w:t>
            </w:r>
          </w:p>
        </w:tc>
      </w:tr>
      <w:tr w:rsidR="003C1651" w:rsidRPr="00BA2349" w:rsidTr="0011425F">
        <w:trPr>
          <w:cantSplit/>
          <w:trHeight w:val="81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006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Copo descartável em plástico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(PP) com capacidade mínima para 200 ml, contendo 100 unidades. Marca registrada. (Pacote com 100 unidades).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R$ 3,79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R$ 18.950,00</w:t>
            </w:r>
          </w:p>
        </w:tc>
      </w:tr>
    </w:tbl>
    <w:p w:rsidR="0011425F" w:rsidRDefault="0011425F">
      <w:r>
        <w:br w:type="page"/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4111"/>
        <w:gridCol w:w="709"/>
        <w:gridCol w:w="859"/>
        <w:gridCol w:w="992"/>
        <w:gridCol w:w="1262"/>
      </w:tblGrid>
      <w:tr w:rsidR="0011425F" w:rsidRPr="00BA2349" w:rsidTr="0011425F">
        <w:trPr>
          <w:cantSplit/>
          <w:trHeight w:val="510"/>
        </w:trPr>
        <w:tc>
          <w:tcPr>
            <w:tcW w:w="411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8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410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574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Valor </w:t>
            </w: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0" w:type="pct"/>
            <w:shd w:val="clear" w:color="000000" w:fill="95B3D7"/>
            <w:vAlign w:val="center"/>
            <w:hideMark/>
          </w:tcPr>
          <w:p w:rsidR="0011425F" w:rsidRPr="003C1651" w:rsidRDefault="0011425F" w:rsidP="00E0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11425F" w:rsidRPr="00BA2349" w:rsidTr="00E501E3">
        <w:trPr>
          <w:cantSplit/>
          <w:trHeight w:val="76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11425F" w:rsidRPr="00BA2349" w:rsidRDefault="0011425F" w:rsidP="00E501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2378" w:type="pct"/>
            <w:shd w:val="clear" w:color="000000" w:fill="FFFFFF"/>
            <w:hideMark/>
          </w:tcPr>
          <w:p w:rsidR="0011425F" w:rsidRPr="00BA2349" w:rsidRDefault="0011425F" w:rsidP="00E50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Copo descartável em plástico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(PP) com capacidade mínima para 50 ml, contendo 100 unidades. Marca registrada. (Pacote com 100 unidades)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11425F" w:rsidRPr="003C1651" w:rsidRDefault="0011425F" w:rsidP="00E50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11425F" w:rsidRPr="003C1651" w:rsidRDefault="0011425F" w:rsidP="00E501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11425F" w:rsidRPr="003C1651" w:rsidRDefault="0011425F" w:rsidP="00E501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R$ 2,41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11425F" w:rsidRPr="003C1651" w:rsidRDefault="0011425F" w:rsidP="00E501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R$ 12.033,33</w:t>
            </w:r>
          </w:p>
        </w:tc>
      </w:tr>
      <w:tr w:rsidR="003C1651" w:rsidRPr="00BA2349" w:rsidTr="0011425F">
        <w:trPr>
          <w:cantSplit/>
          <w:trHeight w:val="54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008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Desentupidor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para vaso sanitário em borracha com cabo em madeira plastificado.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R$ 23,67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R$ 2.367,00</w:t>
            </w:r>
          </w:p>
        </w:tc>
      </w:tr>
      <w:tr w:rsidR="003C1651" w:rsidRPr="00BA2349" w:rsidTr="0011425F">
        <w:trPr>
          <w:cantSplit/>
          <w:trHeight w:val="105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Desinfetante EUCALIPTO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sanitizante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proofErr w:type="gram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líquido leitoso concentrado de uso geral tipo limpador sanitário. Prazo de validade não inferior a 12 (doze) meses a contar da data de entrega pelo fornecedor. Marca </w:t>
            </w:r>
            <w:proofErr w:type="gram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registrada.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(Galão 5 litros)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R$ 17,31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R$ 5.192,00</w:t>
            </w:r>
          </w:p>
        </w:tc>
      </w:tr>
      <w:tr w:rsidR="003C1651" w:rsidRPr="00BA2349" w:rsidTr="0011425F">
        <w:trPr>
          <w:cantSplit/>
          <w:trHeight w:val="106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Desinfetante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LAVANDA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sanitizante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) líquido leitoso concentrado de uso geral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tipo limpador sanitário. Prazo de validade não inferior a 12 (doze) meses a contar da data de entrega pelo fornecedor. Marca registrado. (Galão5 litros).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R$ 17,31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R$ 6.057,33</w:t>
            </w:r>
          </w:p>
        </w:tc>
      </w:tr>
      <w:tr w:rsidR="003C1651" w:rsidRPr="00BA2349" w:rsidTr="0011425F">
        <w:trPr>
          <w:cantSplit/>
          <w:trHeight w:val="105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Desinfetante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PINHO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sanitizante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) líquido leitoso concentrado de uso geral tipo limpador sanitário. Prazo de validade não inferior a 12 (doze) meses a contar da data de entrega pelo fornecedor. Marca registrada. (Embalagem 1L).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R$ 15,42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R$ 5.397,00</w:t>
            </w:r>
          </w:p>
        </w:tc>
      </w:tr>
      <w:tr w:rsidR="003C1651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Desodorizador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(aromatizante)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ambiental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de ar com fragrância, tipo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aerossol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, acondicionado em embalagem metálica de aproximadamente </w:t>
            </w:r>
            <w:proofErr w:type="gramStart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400ml</w:t>
            </w:r>
            <w:proofErr w:type="gramEnd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R$ 10,30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3C1651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R$ 3.090,00</w:t>
            </w:r>
          </w:p>
        </w:tc>
      </w:tr>
      <w:tr w:rsidR="003C1651" w:rsidRPr="00BA2349" w:rsidTr="0011425F">
        <w:trPr>
          <w:cantSplit/>
          <w:trHeight w:val="10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Desodorizador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pastilha (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pedra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sanitária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sólida em forma de disco, com peso aproximado de 35g. Essência admitida: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lavanda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.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R$ 3,14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R$ 471,00</w:t>
            </w:r>
          </w:p>
        </w:tc>
      </w:tr>
      <w:tr w:rsidR="003C1651" w:rsidRPr="00BA2349" w:rsidTr="0011425F">
        <w:trPr>
          <w:cantSplit/>
          <w:trHeight w:val="105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014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Desodorizador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pastilha (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pedra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sanitária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sólida em forma de disco, com peso aproximado de 35g. Essência admitida: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flor do campo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.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R$ 3,21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R$ 481,50</w:t>
            </w:r>
          </w:p>
        </w:tc>
      </w:tr>
      <w:tr w:rsidR="003C1651" w:rsidRPr="00BA2349" w:rsidTr="0011425F">
        <w:trPr>
          <w:cantSplit/>
          <w:trHeight w:val="105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015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Detergente líquido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NEUTRO, viscoso, acondicionado em embalagem plástica. Prazo de validade não inferior a 12 (doze) meses a contar da data de entrega pelo fornecedor. Marca registrada. (embalagem 500 ml)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R$ 2,64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R$ 5.280,00</w:t>
            </w:r>
          </w:p>
        </w:tc>
      </w:tr>
      <w:tr w:rsidR="003C1651" w:rsidRPr="00BA2349" w:rsidTr="0011425F">
        <w:trPr>
          <w:cantSplit/>
          <w:trHeight w:val="82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Dispenser</w:t>
            </w:r>
            <w:proofErr w:type="spellEnd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papel higiênico </w:t>
            </w: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rolão</w:t>
            </w:r>
            <w:proofErr w:type="spellEnd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Utilizado: - papel higiênico 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rolão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branco </w:t>
            </w:r>
            <w:proofErr w:type="gram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10cm</w:t>
            </w:r>
            <w:proofErr w:type="gram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300 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mts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papel higiênico 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rolão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branco 10cm x 600 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mts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R$ 32,13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R$ 6.426,67</w:t>
            </w:r>
          </w:p>
        </w:tc>
      </w:tr>
      <w:tr w:rsidR="003C1651" w:rsidRPr="00BA2349" w:rsidTr="0011425F">
        <w:trPr>
          <w:cantSplit/>
          <w:trHeight w:val="57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Dispenser</w:t>
            </w:r>
            <w:proofErr w:type="spellEnd"/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sobrepor para sabonete líquido ou álcool gel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em plástico rígido (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com reservatório.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R$ 41,62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R$ 8.323,33</w:t>
            </w:r>
          </w:p>
        </w:tc>
      </w:tr>
      <w:tr w:rsidR="0011425F" w:rsidRPr="00BA2349" w:rsidTr="00342F59">
        <w:trPr>
          <w:cantSplit/>
          <w:trHeight w:val="510"/>
        </w:trPr>
        <w:tc>
          <w:tcPr>
            <w:tcW w:w="411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8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410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574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Valor </w:t>
            </w: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0" w:type="pct"/>
            <w:shd w:val="clear" w:color="000000" w:fill="95B3D7"/>
            <w:vAlign w:val="center"/>
            <w:hideMark/>
          </w:tcPr>
          <w:p w:rsidR="0011425F" w:rsidRPr="003C1651" w:rsidRDefault="0011425F" w:rsidP="00342F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3C1651" w:rsidRPr="00BA2349" w:rsidTr="0011425F">
        <w:trPr>
          <w:cantSplit/>
          <w:trHeight w:val="55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018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Escova para higienização de vaso sanitário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com suporte (recipiente).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R$ 15,42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R$ 1.541,67</w:t>
            </w:r>
          </w:p>
        </w:tc>
      </w:tr>
      <w:tr w:rsidR="003C1651" w:rsidRPr="00BA2349" w:rsidTr="0011425F">
        <w:trPr>
          <w:cantSplit/>
          <w:trHeight w:val="54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019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Flanela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alvejada para limpeza geral na cor </w:t>
            </w: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LARANJA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com dimensões mínimas de 38x58cm.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R$ 6,66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R$ 1.332,67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Inseticida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líquido em spray aerossol (isento de clorofluorcarbono - CFC), grupo químico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piretróide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composição básica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tetrametrina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fenotrina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aletrina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cifenotrina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, com ação eficaz contra insetos voadores em instalações domesticas e rurais, tais como: mosquitos, moscas e baratas. Prazo de validade não inferior a 12 (doze) meses a contar da data de entrega pelo fornecedor. Acondicionado em embalagem metálica com </w:t>
            </w:r>
            <w:proofErr w:type="gram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300ml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R$ 13,58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R$ 2.715,33</w:t>
            </w:r>
          </w:p>
        </w:tc>
      </w:tr>
      <w:tr w:rsidR="00CD1845" w:rsidRPr="00BA2349" w:rsidTr="0011425F">
        <w:trPr>
          <w:cantSplit/>
          <w:trHeight w:val="111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021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Limpador de vidros líquido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, acondicionado em embalagem plástica de 500 ml com pulverizador de gatilho, encaixe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rosqueável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.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R$ 9,69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R$ 969,00</w:t>
            </w:r>
          </w:p>
        </w:tc>
      </w:tr>
      <w:tr w:rsidR="00CD1845" w:rsidRPr="00BA2349" w:rsidTr="0011425F">
        <w:trPr>
          <w:cantSplit/>
          <w:trHeight w:val="82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022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Lixeira plástica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retangular com tampa acionada por pedal, com capacidade para 30 litros (aproximada). Dimensões aproximadas: 30x30x40cm (</w:t>
            </w: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cxlxa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Marca registrada. 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R$ 65,98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R$ 6.598,33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Lustra-móveis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líquido cremoso, acondicionado em embalagem plástica resistente de 200 ml com tampa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flip-top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e bico dosador econômico. Essências admitidas: jasmim, lavanda ou silvestre.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R$ 6,03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R$ 1.808,00</w:t>
            </w:r>
          </w:p>
        </w:tc>
      </w:tr>
      <w:tr w:rsidR="00CD1845" w:rsidRPr="00BA2349" w:rsidTr="0011425F">
        <w:trPr>
          <w:cantSplit/>
          <w:trHeight w:val="108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Palha de aço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grossa, aço carbono n° 2, formato anatômico e abrasividade mínima. Prazo de validade não inferior a 12 (doze) meses a contar da data de entrega pelo fornecedor.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R$ 3,22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R$ 964,50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Pano de chão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confeccionado em tecido de algodão cru, tipo sacaria branca de açúcar, lavado e alvejado, isento de rasgos ou outros defeitos que possam prejudicar sua utilização. Largura mínima 60 cm (por face), comprimento mínimo 85 cm, largura mínima da costura interna 0,5 cm, composição 100% algodão isento de fiapos soltos -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R$ 4,22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R$ 2.108,33</w:t>
            </w:r>
          </w:p>
        </w:tc>
      </w:tr>
      <w:tr w:rsidR="00CD1845" w:rsidRPr="00BA2349" w:rsidTr="0011425F">
        <w:trPr>
          <w:cantSplit/>
          <w:trHeight w:val="64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026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Papel higiênico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de folha dupla de alta (primeira) qualidade, rolos de 30 m x 10 cm. Marca registrada. (Pacote com 04 rolos)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R$ 9,73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R$ 24.333,33</w:t>
            </w:r>
          </w:p>
        </w:tc>
      </w:tr>
      <w:tr w:rsidR="00CD1845" w:rsidRPr="00BA2349" w:rsidTr="0011425F">
        <w:trPr>
          <w:cantSplit/>
          <w:trHeight w:val="57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027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Papel higiênico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de folha simples de alta (primeira) qualidade, rolos de 300 m x 10 cm. Marca registrada. (Pacote com 08 rolos)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1.250</w:t>
            </w:r>
          </w:p>
        </w:tc>
        <w:tc>
          <w:tcPr>
            <w:tcW w:w="57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R$ 57,63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1142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R$ 72.041,67</w:t>
            </w:r>
          </w:p>
        </w:tc>
      </w:tr>
    </w:tbl>
    <w:p w:rsidR="0011425F" w:rsidRDefault="0011425F">
      <w:r>
        <w:br w:type="page"/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4111"/>
        <w:gridCol w:w="709"/>
        <w:gridCol w:w="854"/>
        <w:gridCol w:w="5"/>
        <w:gridCol w:w="987"/>
        <w:gridCol w:w="5"/>
        <w:gridCol w:w="1262"/>
      </w:tblGrid>
      <w:tr w:rsidR="0011425F" w:rsidRPr="00BA2349" w:rsidTr="003E75EA">
        <w:trPr>
          <w:cantSplit/>
          <w:trHeight w:val="510"/>
        </w:trPr>
        <w:tc>
          <w:tcPr>
            <w:tcW w:w="411" w:type="pct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8" w:type="pct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410" w:type="pct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gridSpan w:val="2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574" w:type="pct"/>
            <w:gridSpan w:val="2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Valor </w:t>
            </w:r>
            <w:proofErr w:type="spellStart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0" w:type="pct"/>
            <w:shd w:val="clear" w:color="000000" w:fill="95B3D7"/>
            <w:vAlign w:val="center"/>
            <w:hideMark/>
          </w:tcPr>
          <w:p w:rsidR="0011425F" w:rsidRPr="003C1651" w:rsidRDefault="0011425F" w:rsidP="003E75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16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D1845" w:rsidRPr="00BA2349" w:rsidTr="0011425F">
        <w:trPr>
          <w:cantSplit/>
          <w:trHeight w:val="66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028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Rodo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 duas lâminas, base aproximada de 30 cm, com cabo de alumínio. Marca registrada.</w:t>
            </w:r>
          </w:p>
        </w:tc>
        <w:tc>
          <w:tcPr>
            <w:tcW w:w="41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7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R$ 25,50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R$ 2.550,00</w:t>
            </w:r>
          </w:p>
        </w:tc>
      </w:tr>
      <w:tr w:rsidR="00CD1845" w:rsidRPr="00BA2349" w:rsidTr="0011425F">
        <w:trPr>
          <w:cantSplit/>
          <w:trHeight w:val="108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029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Sabão em barra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glicerinado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e perfumado, acondicionado em embalagem plástica unidades de 200g cada. Prazo de validade não inferior a 12 (doze) meses a contar da data de entrega pelo fornecedor. Marca registrada. (Pacote com 05 Unidades)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R$ 6,92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R$ 3.458,33</w:t>
            </w:r>
          </w:p>
        </w:tc>
      </w:tr>
      <w:tr w:rsidR="00CD1845" w:rsidRPr="00BA2349" w:rsidTr="0011425F">
        <w:trPr>
          <w:cantSplit/>
          <w:trHeight w:val="79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Sabão em pó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, caixa de 1 kg, Prazo de validade do produto (não inferior a 12 meses a contar da data de entrega pelo fornecedor). Marca registrada.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Cx.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R$ 8,69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R$ 8.690,00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031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Sabonete líquido 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cremoso, antisséptico, </w:t>
            </w:r>
            <w:proofErr w:type="spell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degermante</w:t>
            </w:r>
            <w:proofErr w:type="spell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e hidratante e suavemente perfumado, perolado, acondicionado em galão plástico. Prazo de validade não inferior a 12 (doze) meses a contar da data de entrega pelo fornecedor. Marca registrada. (Galão com</w:t>
            </w:r>
            <w:proofErr w:type="gram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5 litros)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R$ 35,30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R$ 7.060,00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032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Saco plástico</w:t>
            </w:r>
            <w:r w:rsidRPr="00BA2349">
              <w:rPr>
                <w:rFonts w:ascii="Times New Roman" w:hAnsi="Times New Roman" w:cs="Times New Roman"/>
                <w:sz w:val="20"/>
                <w:szCs w:val="20"/>
              </w:rPr>
              <w:t xml:space="preserve"> reforçado para lixo, classe I, tipo D, com capacidade para 30 litros, cor preto, acondicionado em embalagens plásticas tipo almofada com 100 unidades. Capacidade mínima de carga </w:t>
            </w:r>
            <w:proofErr w:type="gramStart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6kg</w:t>
            </w:r>
            <w:proofErr w:type="gramEnd"/>
            <w:r w:rsidRPr="00BA2349">
              <w:rPr>
                <w:rFonts w:ascii="Times New Roman" w:hAnsi="Times New Roman" w:cs="Times New Roman"/>
                <w:sz w:val="20"/>
                <w:szCs w:val="20"/>
              </w:rPr>
              <w:t>. Marca registrada.  (Pacote com 100 unidades)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Pct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R$ 22,63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R$ 67.900,00</w:t>
            </w:r>
          </w:p>
        </w:tc>
      </w:tr>
      <w:tr w:rsidR="00CD1845" w:rsidRPr="00BA2349" w:rsidTr="0011425F">
        <w:trPr>
          <w:cantSplit/>
          <w:trHeight w:val="1320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033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Solução limpeza multiuso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(desinfetante + água sanitária + alvejante), líquido leitoso de uso geral, acondicionado em embalagem plástica com tampa e bico dosador (angulado ou direcional ou bico de pato), favorecendo a aplicação do produto sob a borda do vaso sanitário. Prazo de validade não inferior a 12 (doze) meses a contar da data de entrega pelo fornecedor. Marca registrada. .(embalagem 500 ml)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R$ 7,94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R$ 7.936,67</w:t>
            </w:r>
          </w:p>
        </w:tc>
      </w:tr>
      <w:tr w:rsidR="00CD1845" w:rsidRPr="00BA2349" w:rsidTr="0011425F">
        <w:trPr>
          <w:cantSplit/>
          <w:trHeight w:val="555"/>
        </w:trPr>
        <w:tc>
          <w:tcPr>
            <w:tcW w:w="411" w:type="pct"/>
            <w:shd w:val="clear" w:color="000000" w:fill="FFFFFF"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</w:t>
            </w:r>
          </w:p>
        </w:tc>
        <w:tc>
          <w:tcPr>
            <w:tcW w:w="2378" w:type="pct"/>
            <w:shd w:val="clear" w:color="000000" w:fill="FFFFFF"/>
            <w:hideMark/>
          </w:tcPr>
          <w:p w:rsidR="000661FE" w:rsidRPr="00BA2349" w:rsidRDefault="000661FE" w:rsidP="003C16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Vassoura</w:t>
            </w: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 piaçava doméstica, em forma de leque, com comprimento da cepa aproximado de </w:t>
            </w:r>
            <w:proofErr w:type="gram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30cm</w:t>
            </w:r>
            <w:proofErr w:type="gram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Marca registrada.</w:t>
            </w:r>
          </w:p>
        </w:tc>
        <w:tc>
          <w:tcPr>
            <w:tcW w:w="409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Und</w:t>
            </w:r>
            <w:proofErr w:type="spellEnd"/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4" w:type="pct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R$ 13,67</w:t>
            </w:r>
          </w:p>
        </w:tc>
        <w:tc>
          <w:tcPr>
            <w:tcW w:w="734" w:type="pct"/>
            <w:gridSpan w:val="2"/>
            <w:shd w:val="clear" w:color="000000" w:fill="FFFFFF"/>
            <w:noWrap/>
            <w:vAlign w:val="center"/>
            <w:hideMark/>
          </w:tcPr>
          <w:p w:rsidR="000661FE" w:rsidRPr="00BA2349" w:rsidRDefault="000661FE" w:rsidP="003C1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2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R$ 1.366,67</w:t>
            </w:r>
          </w:p>
        </w:tc>
      </w:tr>
    </w:tbl>
    <w:p w:rsidR="005C04BF" w:rsidRDefault="005C04BF" w:rsidP="0081116E">
      <w:pPr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920FAA" w:rsidRPr="00920FAA" w:rsidRDefault="00920FAA" w:rsidP="0081116E">
      <w:pPr>
        <w:numPr>
          <w:ilvl w:val="1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b/>
        </w:rPr>
      </w:pPr>
      <w:r w:rsidRPr="00920FAA">
        <w:rPr>
          <w:rFonts w:ascii="Times New Roman" w:hAnsi="Times New Roman" w:cs="Times New Roman"/>
          <w:b/>
        </w:rPr>
        <w:t xml:space="preserve">Estimativa de quantidade, preços e recursos </w:t>
      </w:r>
      <w:proofErr w:type="gramStart"/>
      <w:r w:rsidRPr="00920FAA">
        <w:rPr>
          <w:rFonts w:ascii="Times New Roman" w:hAnsi="Times New Roman" w:cs="Times New Roman"/>
          <w:b/>
        </w:rPr>
        <w:t>orçamentários</w:t>
      </w:r>
      <w:proofErr w:type="gramEnd"/>
    </w:p>
    <w:p w:rsidR="00920FAA" w:rsidRPr="000661FE" w:rsidRDefault="00920FAA" w:rsidP="0081116E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0661FE">
        <w:rPr>
          <w:rFonts w:ascii="Times New Roman" w:hAnsi="Times New Roman" w:cs="Times New Roman"/>
        </w:rPr>
        <w:t>O valor global estimado para esta aquisição é de</w:t>
      </w:r>
      <w:r w:rsidRPr="000661FE">
        <w:rPr>
          <w:rFonts w:ascii="Times New Roman" w:hAnsi="Times New Roman" w:cs="Times New Roman"/>
          <w:b/>
        </w:rPr>
        <w:t xml:space="preserve"> R$ 309.85</w:t>
      </w:r>
      <w:r w:rsidR="000661FE" w:rsidRPr="000661FE">
        <w:rPr>
          <w:rFonts w:ascii="Times New Roman" w:hAnsi="Times New Roman" w:cs="Times New Roman"/>
          <w:b/>
        </w:rPr>
        <w:t>4</w:t>
      </w:r>
      <w:r w:rsidRPr="000661FE">
        <w:rPr>
          <w:rFonts w:ascii="Times New Roman" w:hAnsi="Times New Roman" w:cs="Times New Roman"/>
          <w:b/>
        </w:rPr>
        <w:t>,</w:t>
      </w:r>
      <w:r w:rsidR="000661FE" w:rsidRPr="000661FE">
        <w:rPr>
          <w:rFonts w:ascii="Times New Roman" w:hAnsi="Times New Roman" w:cs="Times New Roman"/>
          <w:b/>
        </w:rPr>
        <w:t>50 (</w:t>
      </w:r>
      <w:proofErr w:type="gramStart"/>
      <w:r w:rsidR="000661FE" w:rsidRPr="000661FE">
        <w:rPr>
          <w:rFonts w:ascii="Times New Roman" w:hAnsi="Times New Roman" w:cs="Times New Roman"/>
          <w:b/>
        </w:rPr>
        <w:t>T</w:t>
      </w:r>
      <w:r w:rsidRPr="000661FE">
        <w:rPr>
          <w:rFonts w:ascii="Times New Roman" w:hAnsi="Times New Roman" w:cs="Times New Roman"/>
          <w:b/>
        </w:rPr>
        <w:t xml:space="preserve">rezentos e </w:t>
      </w:r>
      <w:r w:rsidR="000661FE" w:rsidRPr="000661FE">
        <w:rPr>
          <w:rFonts w:ascii="Times New Roman" w:hAnsi="Times New Roman" w:cs="Times New Roman"/>
          <w:b/>
        </w:rPr>
        <w:t>N</w:t>
      </w:r>
      <w:r w:rsidRPr="000661FE">
        <w:rPr>
          <w:rFonts w:ascii="Times New Roman" w:hAnsi="Times New Roman" w:cs="Times New Roman"/>
          <w:b/>
        </w:rPr>
        <w:t xml:space="preserve">ove </w:t>
      </w:r>
      <w:r w:rsidR="000661FE" w:rsidRPr="000661FE">
        <w:rPr>
          <w:rFonts w:ascii="Times New Roman" w:hAnsi="Times New Roman" w:cs="Times New Roman"/>
          <w:b/>
        </w:rPr>
        <w:t>M</w:t>
      </w:r>
      <w:r w:rsidR="00D805FB" w:rsidRPr="000661FE">
        <w:rPr>
          <w:rFonts w:ascii="Times New Roman" w:hAnsi="Times New Roman" w:cs="Times New Roman"/>
          <w:b/>
        </w:rPr>
        <w:t xml:space="preserve">il, </w:t>
      </w:r>
      <w:r w:rsidR="000661FE" w:rsidRPr="000661FE">
        <w:rPr>
          <w:rFonts w:ascii="Times New Roman" w:hAnsi="Times New Roman" w:cs="Times New Roman"/>
          <w:b/>
        </w:rPr>
        <w:t>O</w:t>
      </w:r>
      <w:r w:rsidR="00D805FB" w:rsidRPr="000661FE">
        <w:rPr>
          <w:rFonts w:ascii="Times New Roman" w:hAnsi="Times New Roman" w:cs="Times New Roman"/>
          <w:b/>
        </w:rPr>
        <w:t xml:space="preserve">itocentos e </w:t>
      </w:r>
      <w:r w:rsidR="000661FE" w:rsidRPr="000661FE">
        <w:rPr>
          <w:rFonts w:ascii="Times New Roman" w:hAnsi="Times New Roman" w:cs="Times New Roman"/>
          <w:b/>
        </w:rPr>
        <w:t>C</w:t>
      </w:r>
      <w:r w:rsidR="00D805FB" w:rsidRPr="000661FE">
        <w:rPr>
          <w:rFonts w:ascii="Times New Roman" w:hAnsi="Times New Roman" w:cs="Times New Roman"/>
          <w:b/>
        </w:rPr>
        <w:t xml:space="preserve">inquenta </w:t>
      </w:r>
      <w:r w:rsidR="000661FE" w:rsidRPr="000661FE">
        <w:rPr>
          <w:rFonts w:ascii="Times New Roman" w:hAnsi="Times New Roman" w:cs="Times New Roman"/>
          <w:b/>
        </w:rPr>
        <w:t>e</w:t>
      </w:r>
      <w:proofErr w:type="gramEnd"/>
      <w:r w:rsidR="000661FE" w:rsidRPr="000661FE">
        <w:rPr>
          <w:rFonts w:ascii="Times New Roman" w:hAnsi="Times New Roman" w:cs="Times New Roman"/>
          <w:b/>
        </w:rPr>
        <w:t xml:space="preserve"> Quatro R</w:t>
      </w:r>
      <w:r w:rsidR="00D805FB" w:rsidRPr="000661FE">
        <w:rPr>
          <w:rFonts w:ascii="Times New Roman" w:hAnsi="Times New Roman" w:cs="Times New Roman"/>
          <w:b/>
        </w:rPr>
        <w:t xml:space="preserve">eais e </w:t>
      </w:r>
      <w:r w:rsidR="000661FE" w:rsidRPr="000661FE">
        <w:rPr>
          <w:rFonts w:ascii="Times New Roman" w:hAnsi="Times New Roman" w:cs="Times New Roman"/>
          <w:b/>
        </w:rPr>
        <w:t>Cinquenta C</w:t>
      </w:r>
      <w:r w:rsidR="00D805FB" w:rsidRPr="000661FE">
        <w:rPr>
          <w:rFonts w:ascii="Times New Roman" w:hAnsi="Times New Roman" w:cs="Times New Roman"/>
          <w:b/>
        </w:rPr>
        <w:t>entavos</w:t>
      </w:r>
      <w:r w:rsidRPr="000661FE">
        <w:rPr>
          <w:rFonts w:ascii="Times New Roman" w:hAnsi="Times New Roman" w:cs="Times New Roman"/>
          <w:b/>
        </w:rPr>
        <w:t>).</w:t>
      </w:r>
    </w:p>
    <w:p w:rsidR="00D805FB" w:rsidRPr="004A7CDB" w:rsidRDefault="00D805FB" w:rsidP="0081116E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4A7CDB">
        <w:rPr>
          <w:rFonts w:ascii="Times New Roman" w:hAnsi="Times New Roman" w:cs="Times New Roman"/>
        </w:rPr>
        <w:t xml:space="preserve">O custo estimado foi apurado a partir de pesquisa de preços constante do processo administrativo, elaborado com base em orçamentos recebidos de empresas especializadas. As Médias dos valores definiram as estimativas das </w:t>
      </w:r>
      <w:r>
        <w:rPr>
          <w:rFonts w:ascii="Times New Roman" w:hAnsi="Times New Roman" w:cs="Times New Roman"/>
        </w:rPr>
        <w:t>aquisições</w:t>
      </w:r>
      <w:r w:rsidRPr="004A7CDB">
        <w:rPr>
          <w:rFonts w:ascii="Times New Roman" w:hAnsi="Times New Roman" w:cs="Times New Roman"/>
        </w:rPr>
        <w:t xml:space="preserve">. </w:t>
      </w:r>
    </w:p>
    <w:p w:rsidR="00D805FB" w:rsidRPr="006A663C" w:rsidRDefault="00D805FB" w:rsidP="0081116E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6A663C">
        <w:rPr>
          <w:rFonts w:ascii="Times New Roman" w:hAnsi="Times New Roman" w:cs="Times New Roman"/>
        </w:rPr>
        <w:lastRenderedPageBreak/>
        <w:t>Todas as despesas tais como: impostos, taxas, fretes, emolumentos e encargos porventura incidentes sobre o fornecimento, correrão por conta da empresa licitante - vencedora da licitação;</w:t>
      </w:r>
    </w:p>
    <w:p w:rsidR="00D805FB" w:rsidRPr="00AB1B4A" w:rsidRDefault="00D805FB" w:rsidP="0081116E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B1B4A">
        <w:rPr>
          <w:rFonts w:ascii="Times New Roman" w:hAnsi="Times New Roman" w:cs="Times New Roman"/>
        </w:rPr>
        <w:t>As despesas da presente licitação correrão à conta dos recursos consignados no Orçamento Geral da União, para o exercício 2016, a cargo da UFPB e recursos decorrentes de descentralização voluntária, cujos programas de trabalho e elemento de despesas específicas constarão da Nota de Empenho.</w:t>
      </w:r>
    </w:p>
    <w:p w:rsidR="008B057C" w:rsidRPr="00AD750E" w:rsidRDefault="008B057C" w:rsidP="0081116E">
      <w:pPr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F5DB8" w:rsidRDefault="004F5DB8" w:rsidP="0081116E">
      <w:pPr>
        <w:numPr>
          <w:ilvl w:val="0"/>
          <w:numId w:val="1"/>
        </w:numPr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D750E">
        <w:rPr>
          <w:rFonts w:ascii="Times New Roman" w:hAnsi="Times New Roman" w:cs="Times New Roman"/>
          <w:b/>
        </w:rPr>
        <w:t>JUSTIFICATIVA E OBJETIVO DA CONTRATAÇÃO</w:t>
      </w:r>
    </w:p>
    <w:p w:rsidR="0011425F" w:rsidRPr="00AD750E" w:rsidRDefault="0011425F" w:rsidP="0011425F">
      <w:p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6939EC" w:rsidRPr="006939EC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939EC">
        <w:rPr>
          <w:rFonts w:ascii="Times New Roman" w:hAnsi="Times New Roman" w:cs="Times New Roman"/>
          <w:b/>
        </w:rPr>
        <w:t>Da razão da necessidade da aquisição:</w:t>
      </w:r>
    </w:p>
    <w:p w:rsidR="00881C5C" w:rsidRDefault="004F5DB8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881C5C">
        <w:rPr>
          <w:rFonts w:ascii="Times New Roman" w:hAnsi="Times New Roman" w:cs="Times New Roman"/>
        </w:rPr>
        <w:t xml:space="preserve"> </w:t>
      </w:r>
      <w:r w:rsidR="00881C5C" w:rsidRPr="00881C5C">
        <w:rPr>
          <w:rFonts w:ascii="Times New Roman" w:hAnsi="Times New Roman" w:cs="Times New Roman"/>
        </w:rPr>
        <w:t xml:space="preserve">Tendo em vista a constante necessidade de aquisição de materiais de </w:t>
      </w:r>
      <w:r w:rsidR="00D913B8">
        <w:rPr>
          <w:rFonts w:ascii="Times New Roman" w:hAnsi="Times New Roman" w:cs="Times New Roman"/>
        </w:rPr>
        <w:t>limpeza</w:t>
      </w:r>
      <w:r w:rsidR="00881C5C" w:rsidRPr="00881C5C">
        <w:rPr>
          <w:rFonts w:ascii="Times New Roman" w:hAnsi="Times New Roman" w:cs="Times New Roman"/>
        </w:rPr>
        <w:t xml:space="preserve"> para atender às necessidades administrativas, este termo de referência visa suprir esta demanda de forma efetiva.</w:t>
      </w:r>
    </w:p>
    <w:p w:rsidR="006939EC" w:rsidRPr="006939EC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939EC">
        <w:rPr>
          <w:rFonts w:ascii="Times New Roman" w:hAnsi="Times New Roman" w:cs="Times New Roman"/>
          <w:b/>
        </w:rPr>
        <w:t>Do quantitativo de serviço demandado:</w:t>
      </w:r>
    </w:p>
    <w:p w:rsidR="007B6C36" w:rsidRDefault="007B6C36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Foi realizada uma estimativa do quantitativo a ser utilizado no período de 12 meses, uma vez qu</w:t>
      </w:r>
      <w:r w:rsidR="00881C5C" w:rsidRPr="002919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,</w:t>
      </w:r>
      <w:r w:rsidR="00881C5C" w:rsidRPr="0029192D">
        <w:rPr>
          <w:rFonts w:ascii="Times New Roman" w:hAnsi="Times New Roman" w:cs="Times New Roman"/>
        </w:rPr>
        <w:t xml:space="preserve"> pela natureza e destinação do material, não é possível definir com plena exatidão o quantitativo a ser demandado pela Administração</w:t>
      </w:r>
      <w:r>
        <w:rPr>
          <w:rFonts w:ascii="Times New Roman" w:hAnsi="Times New Roman" w:cs="Times New Roman"/>
        </w:rPr>
        <w:t xml:space="preserve">. </w:t>
      </w:r>
    </w:p>
    <w:p w:rsidR="0029192D" w:rsidRPr="007B6C36" w:rsidRDefault="007B6C36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B6C36">
        <w:rPr>
          <w:rFonts w:ascii="Times New Roman" w:hAnsi="Times New Roman" w:cs="Times New Roman"/>
          <w:color w:val="000000"/>
        </w:rPr>
        <w:t>A necessidade de aquisição dos materiais oscilará, em termos de quantidades, de maneira diretamente proporcional à quantidade de atividades ou atribuições do órgão público e dependerá do vulto e diversidade dos recursos a serem disponibilizados</w:t>
      </w:r>
      <w:r>
        <w:rPr>
          <w:rFonts w:ascii="Times New Roman" w:hAnsi="Times New Roman" w:cs="Times New Roman"/>
          <w:color w:val="000000"/>
        </w:rPr>
        <w:t xml:space="preserve"> </w:t>
      </w:r>
      <w:r w:rsidR="00881C5C" w:rsidRPr="007B6C36">
        <w:rPr>
          <w:rFonts w:ascii="Times New Roman" w:hAnsi="Times New Roman" w:cs="Times New Roman"/>
        </w:rPr>
        <w:t>considerando, ademais, a ausência de condições de estocagem em grande quantidade de material, sem se falar nos riscos de perda decorrentes do armazenamento.</w:t>
      </w:r>
    </w:p>
    <w:p w:rsidR="006939EC" w:rsidRPr="008F63BA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F63BA">
        <w:rPr>
          <w:rFonts w:ascii="Times New Roman" w:hAnsi="Times New Roman" w:cs="Times New Roman"/>
          <w:b/>
        </w:rPr>
        <w:t>Da utilização do Registro de Preços:</w:t>
      </w:r>
    </w:p>
    <w:p w:rsidR="00881C5C" w:rsidRPr="008F63BA" w:rsidRDefault="00E650CB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8F63BA">
        <w:rPr>
          <w:rFonts w:ascii="Times New Roman" w:hAnsi="Times New Roman" w:cs="Times New Roman"/>
        </w:rPr>
        <w:t>O</w:t>
      </w:r>
      <w:r w:rsidR="00881C5C" w:rsidRPr="008F63BA">
        <w:rPr>
          <w:rFonts w:ascii="Times New Roman" w:hAnsi="Times New Roman" w:cs="Times New Roman"/>
        </w:rPr>
        <w:t xml:space="preserve">pta-se por realizar-se a presente licitação, valendo-se do Sistema de Registro de Preços </w:t>
      </w:r>
      <w:proofErr w:type="gramStart"/>
      <w:r w:rsidR="00881C5C" w:rsidRPr="008F63BA">
        <w:rPr>
          <w:rFonts w:ascii="Times New Roman" w:hAnsi="Times New Roman" w:cs="Times New Roman"/>
        </w:rPr>
        <w:t>em virtude do exato enquadramento das necessidades dos órgãos públicos citados nos requisitos fundamentais para utilização desse sistema, previstas no Decreto</w:t>
      </w:r>
      <w:proofErr w:type="gramEnd"/>
      <w:r w:rsidR="00881C5C" w:rsidRPr="008F63BA">
        <w:rPr>
          <w:rFonts w:ascii="Times New Roman" w:hAnsi="Times New Roman" w:cs="Times New Roman"/>
        </w:rPr>
        <w:t xml:space="preserve"> nº 7.892 de 2013, abaixo citadas:</w:t>
      </w:r>
    </w:p>
    <w:p w:rsidR="00881C5C" w:rsidRPr="008F63BA" w:rsidRDefault="00881C5C" w:rsidP="0081116E">
      <w:pPr>
        <w:numPr>
          <w:ilvl w:val="3"/>
          <w:numId w:val="1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8F63BA">
        <w:rPr>
          <w:rFonts w:ascii="Times New Roman" w:hAnsi="Times New Roman" w:cs="Times New Roman"/>
          <w:color w:val="000000"/>
        </w:rPr>
        <w:t>bens</w:t>
      </w:r>
      <w:proofErr w:type="gramEnd"/>
      <w:r w:rsidRPr="008F63BA">
        <w:rPr>
          <w:rFonts w:ascii="Times New Roman" w:hAnsi="Times New Roman" w:cs="Times New Roman"/>
          <w:color w:val="000000"/>
        </w:rPr>
        <w:t xml:space="preserve"> que, por suas características, necessitam de contratações frequentes – os bens licitados são necessários durante todo o transcorrer do ano;</w:t>
      </w:r>
    </w:p>
    <w:p w:rsidR="00881C5C" w:rsidRPr="008F63BA" w:rsidRDefault="00881C5C" w:rsidP="0081116E">
      <w:pPr>
        <w:numPr>
          <w:ilvl w:val="3"/>
          <w:numId w:val="1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8F63BA">
        <w:rPr>
          <w:rFonts w:ascii="Times New Roman" w:hAnsi="Times New Roman" w:cs="Times New Roman"/>
          <w:color w:val="000000"/>
        </w:rPr>
        <w:lastRenderedPageBreak/>
        <w:t>conveniência</w:t>
      </w:r>
      <w:proofErr w:type="gramEnd"/>
      <w:r w:rsidRPr="008F63BA">
        <w:rPr>
          <w:rFonts w:ascii="Times New Roman" w:hAnsi="Times New Roman" w:cs="Times New Roman"/>
          <w:color w:val="000000"/>
        </w:rPr>
        <w:t xml:space="preserve"> da contratação parcelada – a contratação se fará de acordo com a necessidade dos órgãos envolvidos na ata de registro de preços;</w:t>
      </w:r>
    </w:p>
    <w:p w:rsidR="00881C5C" w:rsidRPr="008F63BA" w:rsidRDefault="00881C5C" w:rsidP="0081116E">
      <w:pPr>
        <w:numPr>
          <w:ilvl w:val="3"/>
          <w:numId w:val="1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8F63BA">
        <w:rPr>
          <w:rFonts w:ascii="Times New Roman" w:hAnsi="Times New Roman" w:cs="Times New Roman"/>
          <w:color w:val="000000"/>
        </w:rPr>
        <w:t>aquisição</w:t>
      </w:r>
      <w:proofErr w:type="gramEnd"/>
      <w:r w:rsidRPr="008F63BA">
        <w:rPr>
          <w:rFonts w:ascii="Times New Roman" w:hAnsi="Times New Roman" w:cs="Times New Roman"/>
          <w:color w:val="000000"/>
        </w:rPr>
        <w:t xml:space="preserve"> de bens para atendimento a mais de um órgão ou entidade – a aquisição beneficiará os órgãos usuários, bem como quaisquer entidades locais que desejem faze</w:t>
      </w:r>
      <w:r w:rsidR="006939EC" w:rsidRPr="008F63BA">
        <w:rPr>
          <w:rFonts w:ascii="Times New Roman" w:hAnsi="Times New Roman" w:cs="Times New Roman"/>
          <w:color w:val="000000"/>
        </w:rPr>
        <w:t>r uso deste Registro de Preços.</w:t>
      </w:r>
    </w:p>
    <w:p w:rsidR="006939EC" w:rsidRDefault="006939EC" w:rsidP="0081116E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6939EC" w:rsidRPr="006939EC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 Forma d</w:t>
      </w:r>
      <w:r w:rsidRPr="006939EC">
        <w:rPr>
          <w:rFonts w:ascii="Times New Roman" w:hAnsi="Times New Roman" w:cs="Times New Roman"/>
          <w:b/>
        </w:rPr>
        <w:t>e Aquisição</w:t>
      </w:r>
      <w:r>
        <w:rPr>
          <w:rFonts w:ascii="Times New Roman" w:hAnsi="Times New Roman" w:cs="Times New Roman"/>
          <w:b/>
        </w:rPr>
        <w:t>:</w:t>
      </w:r>
    </w:p>
    <w:p w:rsidR="006939EC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6939EC">
        <w:rPr>
          <w:rFonts w:ascii="Times New Roman" w:hAnsi="Times New Roman" w:cs="Times New Roman"/>
        </w:rPr>
        <w:t>As aquisições dos itens decorrentes do Registro de Preços serão feitas de acordo com a necessidade e conveniência da Prefeitura Universitária, mediante a emissão de Notas de Empenho.</w:t>
      </w:r>
    </w:p>
    <w:p w:rsidR="00451D98" w:rsidRPr="00451D98" w:rsidRDefault="00451D98" w:rsidP="0081116E">
      <w:pPr>
        <w:numPr>
          <w:ilvl w:val="3"/>
          <w:numId w:val="1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51D98">
        <w:rPr>
          <w:rFonts w:ascii="Times New Roman" w:hAnsi="Times New Roman" w:cs="Times New Roman"/>
        </w:rPr>
        <w:t xml:space="preserve">A Contratante enviará por e-mail Nota de Empenho, digitalizada, emitida em favor da Contratada, ou, na indisponibilidade desta tecnologia, por outros meios </w:t>
      </w:r>
      <w:proofErr w:type="gramStart"/>
      <w:r w:rsidRPr="00451D98">
        <w:rPr>
          <w:rFonts w:ascii="Times New Roman" w:hAnsi="Times New Roman" w:cs="Times New Roman"/>
        </w:rPr>
        <w:t>quaisquer –ou</w:t>
      </w:r>
      <w:proofErr w:type="gramEnd"/>
      <w:r w:rsidRPr="00451D98">
        <w:rPr>
          <w:rFonts w:ascii="Times New Roman" w:hAnsi="Times New Roman" w:cs="Times New Roman"/>
        </w:rPr>
        <w:t xml:space="preserve"> postal, por exemplo.</w:t>
      </w:r>
    </w:p>
    <w:p w:rsidR="00451D98" w:rsidRPr="00451D98" w:rsidRDefault="00451D98" w:rsidP="0081116E">
      <w:pPr>
        <w:numPr>
          <w:ilvl w:val="4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51D98">
        <w:rPr>
          <w:rFonts w:ascii="Times New Roman" w:hAnsi="Times New Roman" w:cs="Times New Roman"/>
        </w:rPr>
        <w:t>A Contratante deverá confirmar com o representante da Contratada, o recebimento da Nota de Empenho emitida. A confirmação pode dar-se automaticamente pelo mesmo canal de emissão ou, caso isso não ocorra, a Contratante confirmará via telefone.</w:t>
      </w:r>
    </w:p>
    <w:p w:rsidR="00451D98" w:rsidRDefault="00451D98" w:rsidP="0081116E">
      <w:pPr>
        <w:numPr>
          <w:ilvl w:val="4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51D98">
        <w:rPr>
          <w:rFonts w:ascii="Times New Roman" w:hAnsi="Times New Roman" w:cs="Times New Roman"/>
        </w:rPr>
        <w:t>A Contratada deverá informar o nome do seu representante e os números de seus telefones, fixo e celular, a fim de que a Contratante possa com ele estabelecer contato.</w:t>
      </w:r>
    </w:p>
    <w:p w:rsidR="00451D98" w:rsidRDefault="00451D98" w:rsidP="0081116E">
      <w:pPr>
        <w:numPr>
          <w:ilvl w:val="3"/>
          <w:numId w:val="1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51D98">
        <w:rPr>
          <w:rFonts w:ascii="Times New Roman" w:hAnsi="Times New Roman" w:cs="Times New Roman"/>
        </w:rPr>
        <w:t>A Nota de Empenho poderá também ser entregue pessoalmente ao representante da Contratada, na Instituição da Contratante ou, caso a Administração prefira, no estabelecimento da Contratada. Nestes casos, a entrega deve ser lançada em protocolo.</w:t>
      </w:r>
    </w:p>
    <w:p w:rsidR="006939EC" w:rsidRPr="00451D9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51D98">
        <w:rPr>
          <w:rFonts w:ascii="Times New Roman" w:hAnsi="Times New Roman" w:cs="Times New Roman"/>
        </w:rPr>
        <w:t>Este instrumento não obriga a contratação, nem mesmo nas quantidades indicadas, podendo a Prefeitura Universitária da UFPB promover a aquisição de acordo com suas necessidades, obedecida à legislação pertinente, sendo assegurada ao detentor do registro a preferência, em igualdade de condições.</w:t>
      </w:r>
    </w:p>
    <w:p w:rsidR="004F5DB8" w:rsidRDefault="004F5DB8" w:rsidP="0081116E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1425F" w:rsidRDefault="0011425F" w:rsidP="0081116E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1425F" w:rsidRPr="00AD750E" w:rsidRDefault="0011425F" w:rsidP="0081116E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AD750E">
        <w:rPr>
          <w:rFonts w:ascii="Times New Roman" w:hAnsi="Times New Roman" w:cs="Times New Roman"/>
          <w:b/>
          <w:color w:val="000000"/>
        </w:rPr>
        <w:lastRenderedPageBreak/>
        <w:t>CLASSIFICAÇÃO DOS BENS COMUNS</w:t>
      </w:r>
    </w:p>
    <w:p w:rsidR="0011425F" w:rsidRPr="00AD750E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AD750E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D750E">
        <w:rPr>
          <w:rFonts w:ascii="Times New Roman" w:hAnsi="Times New Roman" w:cs="Times New Roman"/>
        </w:rPr>
        <w:t>O objeto a ser contratado é de natureza comum conforme termos do parágrafo único, do art. 1º, da lei 10.520, de 2002.</w:t>
      </w:r>
    </w:p>
    <w:p w:rsidR="007A080B" w:rsidRDefault="007A080B" w:rsidP="0081116E">
      <w:pPr>
        <w:spacing w:line="360" w:lineRule="auto"/>
        <w:jc w:val="both"/>
        <w:rPr>
          <w:rFonts w:ascii="Times New Roman" w:hAnsi="Times New Roman" w:cs="Times New Roman"/>
        </w:rPr>
      </w:pPr>
    </w:p>
    <w:p w:rsidR="006939EC" w:rsidRDefault="006939EC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3C1651">
        <w:rPr>
          <w:rFonts w:ascii="Times New Roman" w:hAnsi="Times New Roman" w:cs="Times New Roman"/>
          <w:b/>
          <w:color w:val="000000"/>
        </w:rPr>
        <w:t>DA AMOSTRA</w:t>
      </w:r>
    </w:p>
    <w:p w:rsidR="0011425F" w:rsidRPr="003C1651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939EC" w:rsidRPr="003C1651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1651">
        <w:rPr>
          <w:rFonts w:ascii="Times New Roman" w:hAnsi="Times New Roman" w:cs="Times New Roman"/>
        </w:rPr>
        <w:t>O Pregoeiro poderá solicitar do (s) licitante (s) classificado (s) em primeiro lugar a apresentação de AMOSTRAS DOS ITENS, que deverá (</w:t>
      </w:r>
      <w:proofErr w:type="spellStart"/>
      <w:r w:rsidRPr="003C1651">
        <w:rPr>
          <w:rFonts w:ascii="Times New Roman" w:hAnsi="Times New Roman" w:cs="Times New Roman"/>
        </w:rPr>
        <w:t>ão</w:t>
      </w:r>
      <w:proofErr w:type="spellEnd"/>
      <w:r w:rsidRPr="003C1651">
        <w:rPr>
          <w:rFonts w:ascii="Times New Roman" w:hAnsi="Times New Roman" w:cs="Times New Roman"/>
        </w:rPr>
        <w:t xml:space="preserve">) ser apresentada (as) no prazo de </w:t>
      </w:r>
      <w:r w:rsidR="003C1651" w:rsidRPr="003C1651">
        <w:rPr>
          <w:rFonts w:ascii="Times New Roman" w:hAnsi="Times New Roman" w:cs="Times New Roman"/>
        </w:rPr>
        <w:t xml:space="preserve">05 </w:t>
      </w:r>
      <w:r w:rsidRPr="003C1651">
        <w:rPr>
          <w:rFonts w:ascii="Times New Roman" w:hAnsi="Times New Roman" w:cs="Times New Roman"/>
        </w:rPr>
        <w:t>(</w:t>
      </w:r>
      <w:r w:rsidR="003C1651" w:rsidRPr="003C1651">
        <w:rPr>
          <w:rFonts w:ascii="Times New Roman" w:hAnsi="Times New Roman" w:cs="Times New Roman"/>
        </w:rPr>
        <w:t>cinco</w:t>
      </w:r>
      <w:r w:rsidRPr="003C1651">
        <w:rPr>
          <w:rFonts w:ascii="Times New Roman" w:hAnsi="Times New Roman" w:cs="Times New Roman"/>
        </w:rPr>
        <w:t xml:space="preserve">) </w:t>
      </w:r>
      <w:r w:rsidR="003C1651" w:rsidRPr="003C1651">
        <w:rPr>
          <w:rFonts w:ascii="Times New Roman" w:hAnsi="Times New Roman" w:cs="Times New Roman"/>
        </w:rPr>
        <w:t>dias úteis</w:t>
      </w:r>
      <w:r w:rsidRPr="003C1651">
        <w:rPr>
          <w:rFonts w:ascii="Times New Roman" w:hAnsi="Times New Roman" w:cs="Times New Roman"/>
        </w:rPr>
        <w:t xml:space="preserve">, a contar da data da solicitação, junto a </w:t>
      </w:r>
      <w:r w:rsidRPr="003C1651">
        <w:rPr>
          <w:rFonts w:ascii="Times New Roman" w:hAnsi="Times New Roman" w:cs="Times New Roman"/>
          <w:b/>
        </w:rPr>
        <w:t>Comissão Permanente de Licitações UFPB/PU</w:t>
      </w:r>
      <w:r w:rsidRPr="003C1651">
        <w:rPr>
          <w:rFonts w:ascii="Times New Roman" w:hAnsi="Times New Roman" w:cs="Times New Roman"/>
        </w:rPr>
        <w:t>, para conferência do produto com as especificações solicitadas no Termo de Referência;</w:t>
      </w:r>
    </w:p>
    <w:p w:rsidR="006939EC" w:rsidRPr="00E6526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Se a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(s) amostra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(s) apresentada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(s) pelo primeiro classificado não for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(em) aceitável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(eis), o Pregoeiro analisará a aceitabilidade da proposta ou lance ofertado pelo segundo classificado. Seguir-se-á com a verificação da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(s) amostra</w:t>
      </w:r>
      <w:r>
        <w:rPr>
          <w:rFonts w:ascii="Times New Roman" w:hAnsi="Times New Roman" w:cs="Times New Roman"/>
        </w:rPr>
        <w:t xml:space="preserve"> </w:t>
      </w:r>
      <w:r w:rsidRPr="00E65268">
        <w:rPr>
          <w:rFonts w:ascii="Times New Roman" w:hAnsi="Times New Roman" w:cs="Times New Roman"/>
        </w:rPr>
        <w:t>(s) e, assim, sucessivamente, até a verificação de uma que atenda às especificações constantes no Termo de Referência.</w:t>
      </w:r>
    </w:p>
    <w:p w:rsidR="006939EC" w:rsidRPr="00E6526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O licitante deverá comunicar o seu impedimento ou desinteresse em apresentar amostra, imediatamente quando for solicitado pelo Pregoeiro, a fim de evitar transcurso de prazo excessivo, fazendo estender-se o Pregão por tempo desnecessário;</w:t>
      </w:r>
    </w:p>
    <w:p w:rsidR="006939EC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As amostras enviadas deverão ser identificadas com rótulos ou etiquetas das quais constem as seguintes informações:</w:t>
      </w:r>
    </w:p>
    <w:p w:rsidR="006939EC" w:rsidRPr="00E65268" w:rsidRDefault="006939EC" w:rsidP="0081116E">
      <w:pPr>
        <w:spacing w:line="360" w:lineRule="auto"/>
        <w:ind w:left="567"/>
        <w:jc w:val="both"/>
        <w:rPr>
          <w:rFonts w:ascii="Times New Roman" w:hAnsi="Times New Roman" w:cs="Times New Roman"/>
        </w:rPr>
      </w:pPr>
    </w:p>
    <w:p w:rsidR="006939EC" w:rsidRPr="00E65268" w:rsidRDefault="006939EC" w:rsidP="0081116E">
      <w:pPr>
        <w:numPr>
          <w:ilvl w:val="0"/>
          <w:numId w:val="35"/>
        </w:numPr>
        <w:spacing w:line="360" w:lineRule="auto"/>
        <w:ind w:left="0" w:right="-15" w:firstLine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65268">
        <w:rPr>
          <w:rFonts w:ascii="Times New Roman" w:hAnsi="Times New Roman" w:cs="Times New Roman"/>
          <w:bCs/>
          <w:color w:val="000000"/>
        </w:rPr>
        <w:t>CNPJ e Razão Social do Fornecedor;</w:t>
      </w:r>
    </w:p>
    <w:p w:rsidR="006939EC" w:rsidRPr="00E65268" w:rsidRDefault="006939EC" w:rsidP="0081116E">
      <w:pPr>
        <w:numPr>
          <w:ilvl w:val="0"/>
          <w:numId w:val="35"/>
        </w:numPr>
        <w:spacing w:line="360" w:lineRule="auto"/>
        <w:ind w:left="0" w:right="-15" w:firstLine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65268">
        <w:rPr>
          <w:rFonts w:ascii="Times New Roman" w:hAnsi="Times New Roman" w:cs="Times New Roman"/>
          <w:bCs/>
          <w:color w:val="000000"/>
        </w:rPr>
        <w:t>NUP e Nº do Pregão correspondente.</w:t>
      </w:r>
    </w:p>
    <w:p w:rsidR="006939EC" w:rsidRDefault="006939EC" w:rsidP="0081116E">
      <w:pPr>
        <w:numPr>
          <w:ilvl w:val="0"/>
          <w:numId w:val="35"/>
        </w:numPr>
        <w:spacing w:line="360" w:lineRule="auto"/>
        <w:ind w:left="0" w:right="-15" w:firstLine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65268">
        <w:rPr>
          <w:rFonts w:ascii="Times New Roman" w:hAnsi="Times New Roman" w:cs="Times New Roman"/>
          <w:bCs/>
          <w:color w:val="000000"/>
        </w:rPr>
        <w:t>Identificação por item da amostra (nº do item e descrição/especificação)</w:t>
      </w:r>
    </w:p>
    <w:p w:rsidR="006939EC" w:rsidRPr="00E65268" w:rsidRDefault="006939EC" w:rsidP="0081116E">
      <w:pPr>
        <w:spacing w:line="360" w:lineRule="auto"/>
        <w:ind w:left="567" w:right="-15"/>
        <w:contextualSpacing/>
        <w:jc w:val="both"/>
        <w:rPr>
          <w:rFonts w:ascii="Times New Roman" w:hAnsi="Times New Roman" w:cs="Times New Roman"/>
          <w:bCs/>
          <w:color w:val="000000"/>
        </w:rPr>
      </w:pPr>
    </w:p>
    <w:p w:rsidR="006939EC" w:rsidRPr="00E6526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No caso de não haver entrega da amostra ou ocorrer atraso na entrega, sem justificativa aceita pelo Pregoeiro, ou havendo entrega de amostra fora das especificações previstas neste Edital, a proposta do licitante será recusada.</w:t>
      </w:r>
    </w:p>
    <w:p w:rsidR="006939EC" w:rsidRPr="00E6526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lastRenderedPageBreak/>
        <w:t>Os exemplares colocados à disposição da Administração serão tratados como protótipos, podendo ser abertos, experimentados, consumidos, manuseados e desmontados pela equipe técnica responsável pela análise, conforme o caso.</w:t>
      </w:r>
    </w:p>
    <w:p w:rsidR="006939EC" w:rsidRPr="00E65268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Os licitantes deverão colocar à disposição da Administração todas as condições indispensáveis à realização de testes e fornecer, sem ônus, os manuais impressos em língua portuguesa, necessários ao seu perfeito manuseio, quando for o caso.</w:t>
      </w:r>
    </w:p>
    <w:p w:rsidR="006939EC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65268">
        <w:rPr>
          <w:rFonts w:ascii="Times New Roman" w:hAnsi="Times New Roman" w:cs="Times New Roman"/>
        </w:rPr>
        <w:t>Será considerada aprovada a amostra que atender aos seguintes critérios:</w:t>
      </w:r>
    </w:p>
    <w:p w:rsidR="006939EC" w:rsidRPr="00E65268" w:rsidRDefault="006939EC" w:rsidP="0081116E">
      <w:pPr>
        <w:spacing w:line="360" w:lineRule="auto"/>
        <w:jc w:val="both"/>
        <w:rPr>
          <w:rFonts w:ascii="Times New Roman" w:hAnsi="Times New Roman" w:cs="Times New Roman"/>
        </w:rPr>
      </w:pPr>
    </w:p>
    <w:p w:rsidR="006939EC" w:rsidRPr="00E65268" w:rsidRDefault="006939EC" w:rsidP="0081116E">
      <w:pPr>
        <w:numPr>
          <w:ilvl w:val="0"/>
          <w:numId w:val="36"/>
        </w:numPr>
        <w:spacing w:line="360" w:lineRule="auto"/>
        <w:ind w:left="0" w:right="-15" w:firstLine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65268">
        <w:rPr>
          <w:rFonts w:ascii="Times New Roman" w:hAnsi="Times New Roman" w:cs="Times New Roman"/>
          <w:bCs/>
          <w:color w:val="000000"/>
        </w:rPr>
        <w:t>Que esteja devidamente identificada, conforme item 4.1.4;</w:t>
      </w:r>
    </w:p>
    <w:p w:rsidR="006939EC" w:rsidRPr="00E65268" w:rsidRDefault="006939EC" w:rsidP="0081116E">
      <w:pPr>
        <w:numPr>
          <w:ilvl w:val="0"/>
          <w:numId w:val="36"/>
        </w:numPr>
        <w:spacing w:line="360" w:lineRule="auto"/>
        <w:ind w:left="0" w:right="-15" w:firstLine="0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65268">
        <w:rPr>
          <w:rFonts w:ascii="Times New Roman" w:hAnsi="Times New Roman" w:cs="Times New Roman"/>
          <w:bCs/>
          <w:color w:val="000000"/>
        </w:rPr>
        <w:t>Que apresente as características exigidas no Termo de Referência.</w:t>
      </w:r>
    </w:p>
    <w:p w:rsidR="00703AF9" w:rsidRDefault="00703AF9" w:rsidP="0081116E">
      <w:pPr>
        <w:spacing w:line="360" w:lineRule="auto"/>
        <w:jc w:val="both"/>
        <w:rPr>
          <w:rFonts w:ascii="Times New Roman" w:hAnsi="Times New Roman" w:cs="Times New Roman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D750E">
        <w:rPr>
          <w:rFonts w:ascii="Times New Roman" w:hAnsi="Times New Roman" w:cs="Times New Roman"/>
          <w:b/>
          <w:bCs/>
          <w:color w:val="000000"/>
        </w:rPr>
        <w:t>ENTREGA E CRITÉRIOS DE ACEITAÇÃO DO OBJETO.</w:t>
      </w:r>
    </w:p>
    <w:p w:rsidR="0011425F" w:rsidRPr="00AD750E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A201C" w:rsidRDefault="000A201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A201C">
        <w:rPr>
          <w:rFonts w:ascii="Times New Roman" w:hAnsi="Times New Roman" w:cs="Times New Roman"/>
          <w:color w:val="000000"/>
        </w:rPr>
        <w:t>O prazo de entrega dos bens é de no máximo 10 (dez) dias úteis, contados da data do recebimento da respectiva Nota de Empenho, prorrogáveis por igual período, mediante solicitação prévia da empresa e aceitação do Solicitante.</w:t>
      </w:r>
    </w:p>
    <w:p w:rsidR="000A201C" w:rsidRPr="000A201C" w:rsidRDefault="000A201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A201C">
        <w:rPr>
          <w:rFonts w:ascii="Times New Roman" w:hAnsi="Times New Roman" w:cs="Times New Roman"/>
          <w:color w:val="000000"/>
        </w:rPr>
        <w:t xml:space="preserve">A entrega dos bens se dará no </w:t>
      </w:r>
      <w:r w:rsidRPr="000A201C">
        <w:rPr>
          <w:rFonts w:ascii="Times New Roman" w:hAnsi="Times New Roman" w:cs="Times New Roman"/>
          <w:b/>
          <w:color w:val="000000"/>
        </w:rPr>
        <w:t>Almoxarifado da Prefeitura Universitária</w:t>
      </w:r>
      <w:r w:rsidR="007B6C36">
        <w:rPr>
          <w:rFonts w:ascii="Times New Roman" w:hAnsi="Times New Roman" w:cs="Times New Roman"/>
          <w:color w:val="000000"/>
        </w:rPr>
        <w:t xml:space="preserve">, situada no </w:t>
      </w:r>
      <w:proofErr w:type="spellStart"/>
      <w:r w:rsidR="007B6C36">
        <w:rPr>
          <w:rFonts w:ascii="Times New Roman" w:hAnsi="Times New Roman" w:cs="Times New Roman"/>
          <w:color w:val="000000"/>
        </w:rPr>
        <w:t>Câ</w:t>
      </w:r>
      <w:r w:rsidRPr="000A201C">
        <w:rPr>
          <w:rFonts w:ascii="Times New Roman" w:hAnsi="Times New Roman" w:cs="Times New Roman"/>
          <w:color w:val="000000"/>
        </w:rPr>
        <w:t>mpus</w:t>
      </w:r>
      <w:proofErr w:type="spellEnd"/>
      <w:r w:rsidRPr="000A201C">
        <w:rPr>
          <w:rFonts w:ascii="Times New Roman" w:hAnsi="Times New Roman" w:cs="Times New Roman"/>
          <w:color w:val="000000"/>
        </w:rPr>
        <w:t xml:space="preserve"> I da Cidade Universitária, Bairro Castelo Branco, João Pessoa/PB. Deve-se ressaltar que as referidas entregas deverão respeitar o horário de funcionamento que é de segunda a sexta-feira de </w:t>
      </w:r>
      <w:proofErr w:type="gramStart"/>
      <w:r w:rsidRPr="000A201C">
        <w:rPr>
          <w:rFonts w:ascii="Times New Roman" w:hAnsi="Times New Roman" w:cs="Times New Roman"/>
          <w:color w:val="000000"/>
        </w:rPr>
        <w:t>08:00</w:t>
      </w:r>
      <w:proofErr w:type="gramEnd"/>
      <w:r w:rsidRPr="000A201C">
        <w:rPr>
          <w:rFonts w:ascii="Times New Roman" w:hAnsi="Times New Roman" w:cs="Times New Roman"/>
          <w:color w:val="000000"/>
        </w:rPr>
        <w:t xml:space="preserve"> as 12:00 e de 14:00 as 17:00. </w:t>
      </w:r>
    </w:p>
    <w:p w:rsidR="001E14AF" w:rsidRPr="000A201C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A201C">
        <w:rPr>
          <w:rFonts w:ascii="Times New Roman" w:hAnsi="Times New Roman" w:cs="Times New Roman"/>
          <w:color w:val="000000"/>
        </w:rPr>
        <w:t>Os bens serão recebidos provisoriamente no prazo de</w:t>
      </w:r>
      <w:r w:rsidR="00D913B8" w:rsidRPr="000A201C">
        <w:rPr>
          <w:rFonts w:ascii="Times New Roman" w:hAnsi="Times New Roman" w:cs="Times New Roman"/>
          <w:color w:val="000000"/>
        </w:rPr>
        <w:t xml:space="preserve"> 05 </w:t>
      </w:r>
      <w:r w:rsidRPr="000A201C">
        <w:rPr>
          <w:rFonts w:ascii="Times New Roman" w:hAnsi="Times New Roman" w:cs="Times New Roman"/>
          <w:color w:val="000000"/>
        </w:rPr>
        <w:t>(</w:t>
      </w:r>
      <w:r w:rsidR="00D913B8" w:rsidRPr="000A201C">
        <w:rPr>
          <w:rFonts w:ascii="Times New Roman" w:hAnsi="Times New Roman" w:cs="Times New Roman"/>
          <w:color w:val="000000"/>
        </w:rPr>
        <w:t>cinco</w:t>
      </w:r>
      <w:r w:rsidRPr="000A201C">
        <w:rPr>
          <w:rFonts w:ascii="Times New Roman" w:hAnsi="Times New Roman" w:cs="Times New Roman"/>
          <w:color w:val="000000"/>
        </w:rPr>
        <w:t>) dias, pelo</w:t>
      </w:r>
      <w:r w:rsidR="00D913B8" w:rsidRPr="000A201C">
        <w:rPr>
          <w:rFonts w:ascii="Times New Roman" w:hAnsi="Times New Roman" w:cs="Times New Roman"/>
          <w:color w:val="000000"/>
        </w:rPr>
        <w:t xml:space="preserve"> </w:t>
      </w:r>
      <w:r w:rsidRPr="000A201C">
        <w:rPr>
          <w:rFonts w:ascii="Times New Roman" w:hAnsi="Times New Roman" w:cs="Times New Roman"/>
          <w:color w:val="000000"/>
        </w:rPr>
        <w:t xml:space="preserve">(a) responsável pelo acompanhamento e fiscalização do contrato, para efeito de posterior verificação de sua conformidade com as especificações constantes neste </w:t>
      </w:r>
      <w:r w:rsidR="008C1AF7" w:rsidRPr="000A201C">
        <w:rPr>
          <w:rFonts w:ascii="Times New Roman" w:hAnsi="Times New Roman" w:cs="Times New Roman"/>
          <w:color w:val="000000"/>
        </w:rPr>
        <w:t>Termo de R</w:t>
      </w:r>
      <w:r w:rsidRPr="000A201C">
        <w:rPr>
          <w:rFonts w:ascii="Times New Roman" w:hAnsi="Times New Roman" w:cs="Times New Roman"/>
          <w:color w:val="000000"/>
        </w:rPr>
        <w:t xml:space="preserve">eferência e na proposta. </w:t>
      </w:r>
    </w:p>
    <w:p w:rsidR="001E14AF" w:rsidRPr="000A201C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A201C">
        <w:rPr>
          <w:rFonts w:ascii="Times New Roman" w:hAnsi="Times New Roman" w:cs="Times New Roman"/>
          <w:color w:val="000000"/>
        </w:rPr>
        <w:t>Os bens poderão ser rejeitados, no todo ou em parte, quando em desacordo com as especificações constantes neste Termo de Referência e na proposta, devendo ser substituídos no prazo de</w:t>
      </w:r>
      <w:r w:rsidR="00D913B8" w:rsidRPr="000A201C">
        <w:rPr>
          <w:rFonts w:ascii="Times New Roman" w:hAnsi="Times New Roman" w:cs="Times New Roman"/>
          <w:color w:val="000000"/>
        </w:rPr>
        <w:t xml:space="preserve"> 15 </w:t>
      </w:r>
      <w:r w:rsidRPr="000A201C">
        <w:rPr>
          <w:rFonts w:ascii="Times New Roman" w:hAnsi="Times New Roman" w:cs="Times New Roman"/>
          <w:color w:val="000000"/>
        </w:rPr>
        <w:t>(</w:t>
      </w:r>
      <w:r w:rsidR="00D913B8" w:rsidRPr="000A201C">
        <w:rPr>
          <w:rFonts w:ascii="Times New Roman" w:hAnsi="Times New Roman" w:cs="Times New Roman"/>
          <w:color w:val="000000"/>
        </w:rPr>
        <w:t>quinze</w:t>
      </w:r>
      <w:r w:rsidRPr="000A201C">
        <w:rPr>
          <w:rFonts w:ascii="Times New Roman" w:hAnsi="Times New Roman" w:cs="Times New Roman"/>
          <w:color w:val="000000"/>
        </w:rPr>
        <w:t>) dias, a contar da notificação da contratada, às suas custas, sem prejuízo da aplicação das penalidades.</w:t>
      </w:r>
    </w:p>
    <w:p w:rsidR="000A201C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D750E">
        <w:rPr>
          <w:rFonts w:ascii="Times New Roman" w:hAnsi="Times New Roman" w:cs="Times New Roman"/>
          <w:color w:val="000000"/>
        </w:rPr>
        <w:t xml:space="preserve">Os bens serão recebidos definitivamente no prazo de </w:t>
      </w:r>
      <w:r w:rsidR="00D913B8">
        <w:rPr>
          <w:rFonts w:ascii="Times New Roman" w:hAnsi="Times New Roman" w:cs="Times New Roman"/>
          <w:color w:val="000000"/>
        </w:rPr>
        <w:t xml:space="preserve">05 </w:t>
      </w:r>
      <w:r w:rsidRPr="00AD750E">
        <w:rPr>
          <w:rFonts w:ascii="Times New Roman" w:hAnsi="Times New Roman" w:cs="Times New Roman"/>
          <w:color w:val="000000"/>
        </w:rPr>
        <w:t>(</w:t>
      </w:r>
      <w:r w:rsidR="00D913B8">
        <w:rPr>
          <w:rFonts w:ascii="Times New Roman" w:hAnsi="Times New Roman" w:cs="Times New Roman"/>
          <w:color w:val="000000"/>
        </w:rPr>
        <w:t>cinco</w:t>
      </w:r>
      <w:r w:rsidRPr="00AD750E">
        <w:rPr>
          <w:rFonts w:ascii="Times New Roman" w:hAnsi="Times New Roman" w:cs="Times New Roman"/>
          <w:color w:val="000000"/>
        </w:rPr>
        <w:t>) dias, contados do recebimento provisório, após a verificação da qualidade e quantidade do material e consequente aceitação mediante termo circunstanciado.</w:t>
      </w:r>
    </w:p>
    <w:p w:rsidR="001E14AF" w:rsidRPr="000A201C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</w:rPr>
      </w:pPr>
      <w:r w:rsidRPr="000A201C">
        <w:rPr>
          <w:rFonts w:ascii="Times New Roman" w:hAnsi="Times New Roman" w:cs="Times New Roman"/>
          <w:color w:val="000000"/>
          <w:lang w:eastAsia="en-US"/>
        </w:rPr>
        <w:lastRenderedPageBreak/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AD750E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D750E">
        <w:rPr>
          <w:rFonts w:ascii="Times New Roman" w:hAnsi="Times New Roman" w:cs="Times New Roman"/>
          <w:color w:val="000000"/>
        </w:rPr>
        <w:t>O recebimento provisório ou definitivo do objeto não exclui a responsabilidade da contratada pelos prejuízos resultantes da incorreta execução do contrato.</w:t>
      </w:r>
    </w:p>
    <w:p w:rsidR="00E35957" w:rsidRPr="00AD750E" w:rsidRDefault="00E35957" w:rsidP="0081116E">
      <w:pPr>
        <w:spacing w:line="360" w:lineRule="auto"/>
        <w:ind w:left="567" w:right="-15"/>
        <w:jc w:val="both"/>
        <w:rPr>
          <w:rFonts w:ascii="Times New Roman" w:hAnsi="Times New Roman" w:cs="Times New Roman"/>
          <w:color w:val="000000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D750E">
        <w:rPr>
          <w:rFonts w:ascii="Times New Roman" w:hAnsi="Times New Roman" w:cs="Times New Roman"/>
          <w:b/>
          <w:bCs/>
          <w:color w:val="000000"/>
        </w:rPr>
        <w:t>DAS OBRIGAÇÕES DA CONTRATANTE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939EC" w:rsidRPr="004A7CDB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A7CDB">
        <w:rPr>
          <w:rFonts w:ascii="Times New Roman" w:hAnsi="Times New Roman" w:cs="Times New Roman"/>
          <w:b/>
        </w:rPr>
        <w:t>São obrigações da Contratante:</w:t>
      </w:r>
    </w:p>
    <w:p w:rsidR="006939EC" w:rsidRPr="004A7CDB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receber</w:t>
      </w:r>
      <w:proofErr w:type="gramEnd"/>
      <w:r w:rsidRPr="00EC6A11">
        <w:rPr>
          <w:rFonts w:ascii="Times New Roman" w:hAnsi="Times New Roman" w:cs="Times New Roman"/>
        </w:rPr>
        <w:t xml:space="preserve"> o objeto no prazo e condições estabelecidas no Edital e seus anexos;</w:t>
      </w:r>
    </w:p>
    <w:p w:rsidR="006939EC" w:rsidRPr="004A7CDB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verificar</w:t>
      </w:r>
      <w:proofErr w:type="gramEnd"/>
      <w:r w:rsidRPr="00EC6A11">
        <w:rPr>
          <w:rFonts w:ascii="Times New Roman" w:hAnsi="Times New Roman" w:cs="Times New Roman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6939EC" w:rsidRPr="004A7CDB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comunicar</w:t>
      </w:r>
      <w:proofErr w:type="gramEnd"/>
      <w:r w:rsidRPr="00EC6A11">
        <w:rPr>
          <w:rFonts w:ascii="Times New Roman" w:hAnsi="Times New Roman" w:cs="Times New Roman"/>
        </w:rPr>
        <w:t xml:space="preserve"> à Contratada, por escrito, sobre imperfeições, falhas ou irregularidades verificadas no objeto fornecido, para que seja substituído, reparado ou corrigido;</w:t>
      </w:r>
    </w:p>
    <w:p w:rsidR="006939EC" w:rsidRPr="004A7CDB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acompanhar</w:t>
      </w:r>
      <w:proofErr w:type="gramEnd"/>
      <w:r w:rsidRPr="00EC6A11">
        <w:rPr>
          <w:rFonts w:ascii="Times New Roman" w:hAnsi="Times New Roman" w:cs="Times New Roman"/>
        </w:rPr>
        <w:t xml:space="preserve"> e fiscalizar o cumprimento das obrigações da Contratada, através de comissão/servidor especialmente designado;</w:t>
      </w:r>
    </w:p>
    <w:p w:rsidR="006939EC" w:rsidRDefault="006939E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efetuar</w:t>
      </w:r>
      <w:proofErr w:type="gramEnd"/>
      <w:r w:rsidRPr="00EC6A11">
        <w:rPr>
          <w:rFonts w:ascii="Times New Roman" w:hAnsi="Times New Roman" w:cs="Times New Roman"/>
        </w:rPr>
        <w:t xml:space="preserve"> o pagamento à Contratada</w:t>
      </w:r>
      <w:r w:rsidRPr="004A7CDB">
        <w:rPr>
          <w:rFonts w:ascii="Times New Roman" w:hAnsi="Times New Roman" w:cs="Times New Roman"/>
        </w:rPr>
        <w:t xml:space="preserve"> </w:t>
      </w:r>
      <w:r w:rsidRPr="00EC6A11">
        <w:rPr>
          <w:rFonts w:ascii="Times New Roman" w:hAnsi="Times New Roman" w:cs="Times New Roman"/>
        </w:rPr>
        <w:t>no valor correspondente ao fornecimento do objeto, no prazo e forma estabelecidos no Edital e seus anexos;</w:t>
      </w:r>
    </w:p>
    <w:p w:rsidR="006939EC" w:rsidRPr="004A7CDB" w:rsidRDefault="006939EC" w:rsidP="0081116E">
      <w:pPr>
        <w:spacing w:line="360" w:lineRule="auto"/>
        <w:jc w:val="both"/>
        <w:rPr>
          <w:rFonts w:ascii="Times New Roman" w:hAnsi="Times New Roman" w:cs="Times New Roman"/>
        </w:rPr>
      </w:pPr>
    </w:p>
    <w:p w:rsidR="006939EC" w:rsidRPr="004A7CDB" w:rsidRDefault="006939E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A7CDB">
        <w:rPr>
          <w:rFonts w:ascii="Times New Roman" w:hAnsi="Times New Roman" w:cs="Times New Roman"/>
        </w:rPr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6939EC" w:rsidRPr="00E65268" w:rsidRDefault="006939EC" w:rsidP="0081116E">
      <w:pPr>
        <w:numPr>
          <w:ilvl w:val="1"/>
          <w:numId w:val="1"/>
        </w:numPr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E65268">
        <w:rPr>
          <w:rFonts w:ascii="Times New Roman" w:hAnsi="Times New Roman" w:cs="Times New Roman"/>
        </w:rPr>
        <w:t>A Administração realizará pesquisa de preços periodicamente, em prazo não superior a 180 (cento e oitenta) dias, a fim de verificar a vantajosidade dos preços registrados em Ata.</w:t>
      </w:r>
    </w:p>
    <w:p w:rsidR="00E35957" w:rsidRDefault="00E35957" w:rsidP="0081116E">
      <w:pPr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11425F" w:rsidRDefault="0011425F" w:rsidP="0081116E">
      <w:pPr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11425F" w:rsidRPr="00AD750E" w:rsidRDefault="0011425F" w:rsidP="0081116E">
      <w:pPr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lastRenderedPageBreak/>
        <w:t>OBRIGAÇÕES DA CONTRATADA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A4F5C" w:rsidRPr="004A7CDB" w:rsidRDefault="00EA4F5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EC6A11">
        <w:rPr>
          <w:rFonts w:ascii="Times New Roman" w:hAnsi="Times New Roman" w:cs="Times New Roman"/>
        </w:rPr>
        <w:t>A Contratada deve cumprir todas as obrigações constantes no Edital, seus anexos e sua proposta, assumindo como exclusivamente seus os riscos e as despesas decorrentes da boa e perfeita execução do objeto e, ainda:</w:t>
      </w:r>
    </w:p>
    <w:p w:rsidR="00EA4F5C" w:rsidRPr="004A7CDB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efetuar</w:t>
      </w:r>
      <w:proofErr w:type="gramEnd"/>
      <w:r w:rsidRPr="00EC6A11">
        <w:rPr>
          <w:rFonts w:ascii="Times New Roman" w:hAnsi="Times New Roman" w:cs="Times New Roman"/>
        </w:rPr>
        <w:t xml:space="preserve"> a entrega do objeto em perfeitas condições, conforme especificações, prazo e local constantes no Edital e seus anexos, acompanhado da respectiva nota fiscal, na qual constarão as indicações referente</w:t>
      </w:r>
      <w:r w:rsidRPr="009036C5">
        <w:rPr>
          <w:rFonts w:ascii="Times New Roman" w:hAnsi="Times New Roman" w:cs="Times New Roman"/>
        </w:rPr>
        <w:t>s a: marca, fabricante, modelo, procedência e prazo de garantia ou validade;</w:t>
      </w:r>
    </w:p>
    <w:p w:rsidR="00EA4F5C" w:rsidRPr="00EC6A11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responsabilizar</w:t>
      </w:r>
      <w:proofErr w:type="gramEnd"/>
      <w:r w:rsidRPr="00EC6A11">
        <w:rPr>
          <w:rFonts w:ascii="Times New Roman" w:hAnsi="Times New Roman" w:cs="Times New Roman"/>
        </w:rPr>
        <w:t>-se pelos vícios e danos decorrentes do objeto, de acordo com os artigos 12, 13 e 17 a 27, do Código de Defesa do Consumidor (Lei nº 8.078, de 1990);</w:t>
      </w:r>
    </w:p>
    <w:p w:rsidR="00EA4F5C" w:rsidRPr="00EC6A11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substituir</w:t>
      </w:r>
      <w:proofErr w:type="gramEnd"/>
      <w:r w:rsidRPr="00EC6A11">
        <w:rPr>
          <w:rFonts w:ascii="Times New Roman" w:hAnsi="Times New Roman" w:cs="Times New Roman"/>
        </w:rPr>
        <w:t>, reparar ou corrigir, às suas expensas, no prazo fixado neste Termo de Referência, o objeto com avarias ou defeitos;</w:t>
      </w:r>
    </w:p>
    <w:p w:rsidR="00EA4F5C" w:rsidRPr="00EC6A11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comunicar</w:t>
      </w:r>
      <w:proofErr w:type="gramEnd"/>
      <w:r w:rsidRPr="00EC6A11">
        <w:rPr>
          <w:rFonts w:ascii="Times New Roman" w:hAnsi="Times New Roman" w:cs="Times New Roman"/>
        </w:rPr>
        <w:t xml:space="preserve"> à Contratante, no prazo máximo de 24 (vinte e quatro) horas que antecede a data da entrega, os motivos que impossibilitem o cumprimento do prazo previsto, com a devida comprovação;</w:t>
      </w:r>
    </w:p>
    <w:p w:rsidR="00EA4F5C" w:rsidRPr="00EC6A11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manter</w:t>
      </w:r>
      <w:proofErr w:type="gramEnd"/>
      <w:r w:rsidRPr="00EC6A11">
        <w:rPr>
          <w:rFonts w:ascii="Times New Roman" w:hAnsi="Times New Roman" w:cs="Times New Roman"/>
        </w:rPr>
        <w:t>, durante toda a execução do contrato, em compatibilidade com as obrigações assumidas, todas as condições de habilitação e qualificação exigidas na licitação;</w:t>
      </w:r>
    </w:p>
    <w:p w:rsidR="00EA4F5C" w:rsidRPr="00EC6A11" w:rsidRDefault="00EA4F5C" w:rsidP="0081116E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C6A11">
        <w:rPr>
          <w:rFonts w:ascii="Times New Roman" w:hAnsi="Times New Roman" w:cs="Times New Roman"/>
        </w:rPr>
        <w:t>indicar</w:t>
      </w:r>
      <w:proofErr w:type="gramEnd"/>
      <w:r w:rsidRPr="00EC6A11">
        <w:rPr>
          <w:rFonts w:ascii="Times New Roman" w:hAnsi="Times New Roman" w:cs="Times New Roman"/>
        </w:rPr>
        <w:t xml:space="preserve"> preposto para representá-la durante a execução do contrato.</w:t>
      </w:r>
    </w:p>
    <w:p w:rsidR="00075206" w:rsidRPr="00AD750E" w:rsidRDefault="00075206" w:rsidP="0081116E">
      <w:pPr>
        <w:spacing w:line="360" w:lineRule="auto"/>
        <w:ind w:left="360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DA SUBCONTRATAÇÃO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>Não será admitida a subcontratação do objeto licitatório.</w:t>
      </w:r>
    </w:p>
    <w:p w:rsidR="00470D04" w:rsidRPr="00AD750E" w:rsidRDefault="00470D04" w:rsidP="0081116E">
      <w:pPr>
        <w:spacing w:line="360" w:lineRule="auto"/>
        <w:ind w:left="425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DE56FD" w:rsidRDefault="00DE56FD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ALTERAÇÃO SUBJETIVA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62733" w:rsidRPr="007A67B4" w:rsidRDefault="00862733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 xml:space="preserve">É admissível a fusão, cisão ou incorporação da contratada com/em outra pessoa jurídica, desde que sejam observados pela nova pessoa jurídica todos os requisitos de habilitação exigidos na licitação original; sejam mantidas as demais cláusulas e </w:t>
      </w:r>
      <w:r w:rsidRPr="007A67B4">
        <w:rPr>
          <w:rFonts w:ascii="Times New Roman" w:hAnsi="Times New Roman" w:cs="Times New Roman"/>
          <w:color w:val="000000"/>
        </w:rPr>
        <w:lastRenderedPageBreak/>
        <w:t>condições do contrato; não haja prejuízo à execução do objeto pactuado e haja a anuência expressa da Administração à continuidade do contrato.</w:t>
      </w:r>
    </w:p>
    <w:p w:rsidR="00470D04" w:rsidRPr="00AD750E" w:rsidRDefault="00470D04" w:rsidP="0081116E">
      <w:pPr>
        <w:spacing w:line="360" w:lineRule="auto"/>
        <w:ind w:left="425"/>
        <w:jc w:val="both"/>
        <w:rPr>
          <w:rFonts w:ascii="Times New Roman" w:hAnsi="Times New Roman" w:cs="Times New Roman"/>
          <w:lang w:eastAsia="en-US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CONTROLE DA EXECUÇÃO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A1099" w:rsidRPr="007A67B4" w:rsidRDefault="009A1099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D750E">
        <w:rPr>
          <w:rFonts w:ascii="Times New Roman" w:hAnsi="Times New Roman" w:cs="Times New Roman"/>
          <w:color w:val="00000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7A67B4" w:rsidRDefault="009A1099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r w:rsidRPr="00AD750E">
        <w:rPr>
          <w:rFonts w:ascii="Times New Roman" w:hAnsi="Times New Roman" w:cs="Times New Roman"/>
          <w:color w:val="000000"/>
          <w:lang w:eastAsia="en-US"/>
        </w:rPr>
        <w:t xml:space="preserve">O recebimento de material de valor superior a R$ 80.000,00 (oitenta mil reais) será confiado a uma comissão de, no mínimo, </w:t>
      </w:r>
      <w:proofErr w:type="gramStart"/>
      <w:r w:rsidRPr="00AD750E">
        <w:rPr>
          <w:rFonts w:ascii="Times New Roman" w:hAnsi="Times New Roman" w:cs="Times New Roman"/>
          <w:color w:val="000000"/>
          <w:lang w:eastAsia="en-US"/>
        </w:rPr>
        <w:t>3</w:t>
      </w:r>
      <w:proofErr w:type="gramEnd"/>
      <w:r w:rsidRPr="00AD750E">
        <w:rPr>
          <w:rFonts w:ascii="Times New Roman" w:hAnsi="Times New Roman" w:cs="Times New Roman"/>
          <w:color w:val="000000"/>
          <w:lang w:eastAsia="en-US"/>
        </w:rPr>
        <w:t xml:space="preserve"> (três) membros, designados pela autoridade competente.</w:t>
      </w:r>
    </w:p>
    <w:p w:rsidR="001E14AF" w:rsidRPr="00AD750E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D750E">
        <w:rPr>
          <w:rFonts w:ascii="Times New Roman" w:hAnsi="Times New Roman" w:cs="Times New Roman"/>
          <w:color w:val="000000"/>
        </w:rPr>
        <w:t xml:space="preserve">A fiscalização de que trata este item não exclui nem reduz a responsabilidade da </w:t>
      </w:r>
      <w:r w:rsidR="009A1099" w:rsidRPr="00AD750E">
        <w:rPr>
          <w:rFonts w:ascii="Times New Roman" w:hAnsi="Times New Roman" w:cs="Times New Roman"/>
          <w:color w:val="000000"/>
        </w:rPr>
        <w:t>Contratada</w:t>
      </w:r>
      <w:r w:rsidRPr="00AD750E">
        <w:rPr>
          <w:rFonts w:ascii="Times New Roman" w:hAnsi="Times New Roman" w:cs="Times New Roman"/>
          <w:color w:val="000000"/>
        </w:rPr>
        <w:t>, inclusive perante terceiros, por qualquer irregularidade, ainda que resultante de imperfeições técnicas</w:t>
      </w:r>
      <w:r w:rsidR="009A1099" w:rsidRPr="00AD750E">
        <w:rPr>
          <w:rFonts w:ascii="Times New Roman" w:hAnsi="Times New Roman" w:cs="Times New Roman"/>
          <w:color w:val="000000"/>
        </w:rPr>
        <w:t xml:space="preserve"> ou vícios redibitórios, </w:t>
      </w:r>
      <w:r w:rsidRPr="00AD750E">
        <w:rPr>
          <w:rFonts w:ascii="Times New Roman" w:hAnsi="Times New Roman" w:cs="Times New Roman"/>
          <w:color w:val="000000"/>
        </w:rPr>
        <w:t xml:space="preserve">e, na ocorrência desta, não implica em </w:t>
      </w:r>
      <w:proofErr w:type="spellStart"/>
      <w:proofErr w:type="gramStart"/>
      <w:r w:rsidRPr="00AD750E">
        <w:rPr>
          <w:rFonts w:ascii="Times New Roman" w:hAnsi="Times New Roman" w:cs="Times New Roman"/>
          <w:color w:val="000000"/>
        </w:rPr>
        <w:t>co-responsabilidade</w:t>
      </w:r>
      <w:proofErr w:type="spellEnd"/>
      <w:proofErr w:type="gramEnd"/>
      <w:r w:rsidRPr="00AD750E">
        <w:rPr>
          <w:rFonts w:ascii="Times New Roman" w:hAnsi="Times New Roman" w:cs="Times New Roman"/>
          <w:color w:val="000000"/>
        </w:rPr>
        <w:t xml:space="preserve"> da Administração ou de seus agentes e prepostos, de conformidade com o art. 70 da Lei nº 8.666, de 1993.</w:t>
      </w:r>
    </w:p>
    <w:p w:rsidR="001E14AF" w:rsidRPr="00AD750E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D750E">
        <w:rPr>
          <w:rFonts w:ascii="Times New Roman" w:hAnsi="Times New Roman" w:cs="Times New Roman"/>
          <w:color w:val="000000"/>
        </w:rPr>
        <w:t xml:space="preserve">O </w:t>
      </w:r>
      <w:r w:rsidR="009A1099" w:rsidRPr="00AD750E">
        <w:rPr>
          <w:rFonts w:ascii="Times New Roman" w:hAnsi="Times New Roman" w:cs="Times New Roman"/>
          <w:color w:val="000000"/>
        </w:rPr>
        <w:t xml:space="preserve">representante da Administração </w:t>
      </w:r>
      <w:r w:rsidRPr="00AD750E">
        <w:rPr>
          <w:rFonts w:ascii="Times New Roman" w:hAnsi="Times New Roman" w:cs="Times New Roman"/>
          <w:color w:val="000000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AD750E">
        <w:rPr>
          <w:rFonts w:ascii="Times New Roman" w:hAnsi="Times New Roman" w:cs="Times New Roman"/>
          <w:color w:val="000000"/>
        </w:rPr>
        <w:t>larização das falhas</w:t>
      </w:r>
      <w:r w:rsidRPr="00AD750E">
        <w:rPr>
          <w:rFonts w:ascii="Times New Roman" w:hAnsi="Times New Roman" w:cs="Times New Roman"/>
          <w:color w:val="000000"/>
        </w:rPr>
        <w:t xml:space="preserve"> ou defeitos observados e encaminhando os apontamentos à autoridade competente para as providências cabíveis.</w:t>
      </w:r>
    </w:p>
    <w:p w:rsidR="00264A8C" w:rsidRDefault="00264A8C" w:rsidP="0081116E">
      <w:pPr>
        <w:spacing w:line="360" w:lineRule="auto"/>
        <w:ind w:right="-17"/>
        <w:jc w:val="both"/>
        <w:rPr>
          <w:rFonts w:ascii="Times New Roman" w:hAnsi="Times New Roman" w:cs="Times New Roman"/>
          <w:color w:val="000000"/>
        </w:rPr>
      </w:pPr>
    </w:p>
    <w:p w:rsidR="000C5B61" w:rsidRDefault="000C5B61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CANCELAMENTO DO REGISTRO DE PREÇO DO PROPONENTE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C5B61" w:rsidRPr="000C5B61" w:rsidRDefault="000C5B61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C5B61">
        <w:rPr>
          <w:rFonts w:ascii="Times New Roman" w:hAnsi="Times New Roman" w:cs="Times New Roman"/>
          <w:color w:val="000000"/>
        </w:rPr>
        <w:t>O Proponente terá o seu registro de preço cancelado na Ata, por intermédio de processo administrativo específico, assegurado o contraditório e a ampla defesa, a pedido, quando:</w:t>
      </w:r>
    </w:p>
    <w:p w:rsidR="000C5B61" w:rsidRPr="007A67B4" w:rsidRDefault="000C5B61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r w:rsidRPr="007A67B4">
        <w:rPr>
          <w:rFonts w:ascii="Times New Roman" w:hAnsi="Times New Roman" w:cs="Times New Roman"/>
          <w:color w:val="000000"/>
          <w:lang w:eastAsia="en-US"/>
        </w:rPr>
        <w:t>Comprovar a ocorrência de fato superveniente que venha comprometer a perfeita execução da ata, decorrentes de caso fortuito ou de força maior devidamente comprovado;</w:t>
      </w:r>
    </w:p>
    <w:p w:rsidR="000C5B61" w:rsidRPr="007A67B4" w:rsidRDefault="000C5B61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r w:rsidRPr="007A67B4">
        <w:rPr>
          <w:rFonts w:ascii="Times New Roman" w:hAnsi="Times New Roman" w:cs="Times New Roman"/>
          <w:color w:val="000000"/>
          <w:lang w:eastAsia="en-US"/>
        </w:rPr>
        <w:lastRenderedPageBreak/>
        <w:t>O seu preço registrado se tornar, comprovadamente, inexequível em função da elevação dos preços de mercado dos insumos que compõem o custo dos materiais licitados.</w:t>
      </w:r>
    </w:p>
    <w:p w:rsidR="000C5B61" w:rsidRDefault="000C5B61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Por iniciativa da</w:t>
      </w:r>
      <w:r w:rsidRPr="000C5B61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Prefeitura Universitária da UFPB</w:t>
      </w:r>
      <w:r w:rsidRPr="000C5B61">
        <w:rPr>
          <w:rFonts w:ascii="Times New Roman" w:hAnsi="Times New Roman" w:cs="Times New Roman"/>
          <w:color w:val="000000"/>
        </w:rPr>
        <w:t>, quando:</w:t>
      </w:r>
    </w:p>
    <w:p w:rsidR="000C5B61" w:rsidRP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>Não aceitar reduzir o preço registrado, na hipótese deste se tornar superior àqueles praticados no mercado;</w:t>
      </w:r>
    </w:p>
    <w:p w:rsidR="000C5B61" w:rsidRP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>Perder qualquer condição de habilitação ou qualificação técnica exigida no processo licitatório;</w:t>
      </w:r>
    </w:p>
    <w:p w:rsidR="000C5B61" w:rsidRP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 xml:space="preserve">Por razões de interesse </w:t>
      </w:r>
      <w:proofErr w:type="gramStart"/>
      <w:r w:rsidRPr="000C5B61">
        <w:rPr>
          <w:rFonts w:ascii="Times New Roman" w:hAnsi="Times New Roman" w:cs="Times New Roman"/>
        </w:rPr>
        <w:t>Público, devidamente motivada e justificada</w:t>
      </w:r>
      <w:proofErr w:type="gramEnd"/>
      <w:r w:rsidRPr="000C5B61">
        <w:rPr>
          <w:rFonts w:ascii="Times New Roman" w:hAnsi="Times New Roman" w:cs="Times New Roman"/>
        </w:rPr>
        <w:t>;</w:t>
      </w:r>
    </w:p>
    <w:p w:rsidR="000C5B61" w:rsidRP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>Não cumprir as obrigações decorrentes da Ata de Registro de Preço;</w:t>
      </w:r>
    </w:p>
    <w:p w:rsidR="000C5B61" w:rsidRP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>Não comparecer ou se recusar a retirar, no prazo estabelecido, os pedidos decorrentes da Ata de Registro de Preço;</w:t>
      </w:r>
    </w:p>
    <w:p w:rsidR="000C5B61" w:rsidRDefault="000C5B61" w:rsidP="0081116E">
      <w:pPr>
        <w:pStyle w:val="PargrafodaLista"/>
        <w:numPr>
          <w:ilvl w:val="0"/>
          <w:numId w:val="32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C5B61">
        <w:rPr>
          <w:rFonts w:ascii="Times New Roman" w:hAnsi="Times New Roman" w:cs="Times New Roman"/>
        </w:rPr>
        <w:t>Caracterizada qualquer hipótese de inexecução total ou parcial das condições estabelecidas na Ata de Registro de Preço ou nos pedidos dela decorrentes.</w:t>
      </w:r>
    </w:p>
    <w:p w:rsidR="00EA4F5C" w:rsidRPr="000C5B61" w:rsidRDefault="00EA4F5C" w:rsidP="0081116E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:rsidR="001E14AF" w:rsidRDefault="001E14AF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DAS SANÇÕES ADMINISTRATIVAS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>Comete infração administrativa nos termos da Lei nº 8.666, de 1993 e da Lei nº 10.520, de 2002, a C</w:t>
      </w:r>
      <w:r w:rsidR="00A96322" w:rsidRPr="007A67B4">
        <w:rPr>
          <w:rFonts w:ascii="Times New Roman" w:hAnsi="Times New Roman" w:cs="Times New Roman"/>
          <w:color w:val="000000"/>
        </w:rPr>
        <w:t>ontratada</w:t>
      </w:r>
      <w:r w:rsidRPr="007A67B4">
        <w:rPr>
          <w:rFonts w:ascii="Times New Roman" w:hAnsi="Times New Roman" w:cs="Times New Roman"/>
          <w:color w:val="000000"/>
        </w:rPr>
        <w:t xml:space="preserve"> que: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spellStart"/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inexecutar</w:t>
      </w:r>
      <w:proofErr w:type="spellEnd"/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total ou parcialmente qualquer das obrigações assumidas em decorrência da contratação;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ensejar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o retardamento da execução do objeto;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fraudar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na execução do contrato;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comportar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>-se de modo inidôneo;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cometer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fraude fiscal;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não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mantiver a proposta.</w:t>
      </w: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>A C</w:t>
      </w:r>
      <w:r w:rsidR="00A96322" w:rsidRPr="007A67B4">
        <w:rPr>
          <w:rFonts w:ascii="Times New Roman" w:hAnsi="Times New Roman" w:cs="Times New Roman"/>
          <w:color w:val="000000"/>
        </w:rPr>
        <w:t>ontratada</w:t>
      </w:r>
      <w:r w:rsidRPr="007A67B4">
        <w:rPr>
          <w:rFonts w:ascii="Times New Roman" w:hAnsi="Times New Roman" w:cs="Times New Roman"/>
          <w:color w:val="000000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advertência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por faltas leves, assim entendidas aquelas que não acarretem prejuízos significativos para a C</w:t>
      </w:r>
      <w:r w:rsidR="00A96322" w:rsidRPr="007A67B4">
        <w:rPr>
          <w:rFonts w:ascii="Times New Roman" w:hAnsi="Times New Roman" w:cs="Times New Roman"/>
          <w:color w:val="000000"/>
          <w:lang w:eastAsia="en-US"/>
        </w:rPr>
        <w:t>ontratante</w:t>
      </w:r>
      <w:r w:rsidRPr="007A67B4">
        <w:rPr>
          <w:rFonts w:ascii="Times New Roman" w:hAnsi="Times New Roman" w:cs="Times New Roman"/>
          <w:color w:val="000000"/>
          <w:lang w:eastAsia="en-US"/>
        </w:rPr>
        <w:t>;</w:t>
      </w:r>
    </w:p>
    <w:p w:rsidR="000A201C" w:rsidRPr="007A67B4" w:rsidRDefault="000A201C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lastRenderedPageBreak/>
        <w:t>multa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moratória de 0,1% (um décimo por cento) por dia de atraso injustificado sobre o valor da parcela inadimplida, até o limite de 05 (cinco) dias. Após o quinto dia e a critério da Administração, no caso de entrega com atraso, poderá ocorrer a </w:t>
      </w: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não–aceitação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do objeto, de forma a configurar, nessa hipótese, inexecução total da obrigação assumida, sem prejuízo da rescisão unilateral da avença;</w:t>
      </w:r>
    </w:p>
    <w:p w:rsidR="000A201C" w:rsidRPr="007A67B4" w:rsidRDefault="000A201C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multa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compensatória de 10% (dez por cento) sobre o valor total do contrato, no caso de inexecução total do objeto;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em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caso de inexecução parcial, a multa compensatória, no mesmo percentual do subitem acima, será aplicada de forma proporcional à obrigação inadimplida;</w:t>
      </w:r>
    </w:p>
    <w:p w:rsidR="005A5428" w:rsidRPr="007A67B4" w:rsidRDefault="005A5428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suspensão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impedimento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de licitar e contratar com a União com o consequente descredenciamento no SICAF pelo prazo de até cinco anos;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declaração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7A67B4">
        <w:rPr>
          <w:rFonts w:ascii="Times New Roman" w:hAnsi="Times New Roman" w:cs="Times New Roman"/>
          <w:color w:val="000000"/>
          <w:lang w:eastAsia="en-US"/>
        </w:rPr>
        <w:t>ontratada</w:t>
      </w:r>
      <w:r w:rsidRPr="007A67B4">
        <w:rPr>
          <w:rFonts w:ascii="Times New Roman" w:hAnsi="Times New Roman" w:cs="Times New Roman"/>
          <w:color w:val="000000"/>
          <w:lang w:eastAsia="en-US"/>
        </w:rPr>
        <w:t xml:space="preserve"> ressarcir a C</w:t>
      </w:r>
      <w:r w:rsidR="00A96322" w:rsidRPr="007A67B4">
        <w:rPr>
          <w:rFonts w:ascii="Times New Roman" w:hAnsi="Times New Roman" w:cs="Times New Roman"/>
          <w:color w:val="000000"/>
          <w:lang w:eastAsia="en-US"/>
        </w:rPr>
        <w:t>ontratante</w:t>
      </w:r>
      <w:r w:rsidRPr="007A67B4">
        <w:rPr>
          <w:rFonts w:ascii="Times New Roman" w:hAnsi="Times New Roman" w:cs="Times New Roman"/>
          <w:color w:val="000000"/>
          <w:lang w:eastAsia="en-US"/>
        </w:rPr>
        <w:t xml:space="preserve"> pelos prejuízos causados;</w:t>
      </w: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 xml:space="preserve">Também </w:t>
      </w:r>
      <w:proofErr w:type="gramStart"/>
      <w:r w:rsidRPr="007A67B4">
        <w:rPr>
          <w:rFonts w:ascii="Times New Roman" w:hAnsi="Times New Roman" w:cs="Times New Roman"/>
          <w:color w:val="000000"/>
        </w:rPr>
        <w:t>ficam</w:t>
      </w:r>
      <w:proofErr w:type="gramEnd"/>
      <w:r w:rsidRPr="007A67B4">
        <w:rPr>
          <w:rFonts w:ascii="Times New Roman" w:hAnsi="Times New Roman" w:cs="Times New Roman"/>
          <w:color w:val="000000"/>
        </w:rPr>
        <w:t xml:space="preserve"> sujeitas às penalidades do art. 87, III e IV da Lei nº 8.666, de 1993, a</w:t>
      </w:r>
      <w:r w:rsidR="00FB154A" w:rsidRPr="007A67B4">
        <w:rPr>
          <w:rFonts w:ascii="Times New Roman" w:hAnsi="Times New Roman" w:cs="Times New Roman"/>
          <w:color w:val="000000"/>
        </w:rPr>
        <w:t>s empresas e os profissionais que</w:t>
      </w:r>
      <w:r w:rsidRPr="007A67B4">
        <w:rPr>
          <w:rFonts w:ascii="Times New Roman" w:hAnsi="Times New Roman" w:cs="Times New Roman"/>
          <w:color w:val="000000"/>
        </w:rPr>
        <w:t>: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tenha</w:t>
      </w:r>
      <w:r w:rsidR="00FB154A" w:rsidRPr="007A67B4">
        <w:rPr>
          <w:rFonts w:ascii="Times New Roman" w:hAnsi="Times New Roman" w:cs="Times New Roman"/>
          <w:color w:val="000000"/>
          <w:lang w:eastAsia="en-US"/>
        </w:rPr>
        <w:t>m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sofrido condenação definitiva por praticar, por meio dolosos, fraude fiscal no recolhimento de quaisquer tributos;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tenha</w:t>
      </w:r>
      <w:r w:rsidR="00FB154A" w:rsidRPr="007A67B4">
        <w:rPr>
          <w:rFonts w:ascii="Times New Roman" w:hAnsi="Times New Roman" w:cs="Times New Roman"/>
          <w:color w:val="000000"/>
          <w:lang w:eastAsia="en-US"/>
        </w:rPr>
        <w:t>m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praticado atos ilícitos visando a frustrar os objetivos da licitação;</w:t>
      </w:r>
    </w:p>
    <w:p w:rsidR="001E14AF" w:rsidRPr="007A67B4" w:rsidRDefault="001E14AF" w:rsidP="0081116E">
      <w:pPr>
        <w:numPr>
          <w:ilvl w:val="2"/>
          <w:numId w:val="1"/>
        </w:numPr>
        <w:spacing w:line="360" w:lineRule="auto"/>
        <w:ind w:left="0" w:firstLine="1"/>
        <w:jc w:val="both"/>
        <w:rPr>
          <w:rFonts w:ascii="Times New Roman" w:hAnsi="Times New Roman" w:cs="Times New Roman"/>
          <w:color w:val="000000"/>
          <w:lang w:eastAsia="en-US"/>
        </w:rPr>
      </w:pPr>
      <w:proofErr w:type="gramStart"/>
      <w:r w:rsidRPr="007A67B4">
        <w:rPr>
          <w:rFonts w:ascii="Times New Roman" w:hAnsi="Times New Roman" w:cs="Times New Roman"/>
          <w:color w:val="000000"/>
          <w:lang w:eastAsia="en-US"/>
        </w:rPr>
        <w:t>demonstre</w:t>
      </w:r>
      <w:r w:rsidR="00FB154A" w:rsidRPr="007A67B4">
        <w:rPr>
          <w:rFonts w:ascii="Times New Roman" w:hAnsi="Times New Roman" w:cs="Times New Roman"/>
          <w:color w:val="000000"/>
          <w:lang w:eastAsia="en-US"/>
        </w:rPr>
        <w:t>m</w:t>
      </w:r>
      <w:proofErr w:type="gramEnd"/>
      <w:r w:rsidRPr="007A67B4">
        <w:rPr>
          <w:rFonts w:ascii="Times New Roman" w:hAnsi="Times New Roman" w:cs="Times New Roman"/>
          <w:color w:val="000000"/>
          <w:lang w:eastAsia="en-US"/>
        </w:rPr>
        <w:t xml:space="preserve"> não possuir idoneidade para contratar com a Administração em virtude de atos ilícitos praticados.</w:t>
      </w: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>A aplicação de qualquer das penalidades previstas realizar-se-á em processo administrativo que assegurará o contraditório e a ampla defesa à C</w:t>
      </w:r>
      <w:r w:rsidR="009E377E" w:rsidRPr="007A67B4">
        <w:rPr>
          <w:rFonts w:ascii="Times New Roman" w:hAnsi="Times New Roman" w:cs="Times New Roman"/>
          <w:color w:val="000000"/>
        </w:rPr>
        <w:t>ontratada</w:t>
      </w:r>
      <w:r w:rsidRPr="007A67B4">
        <w:rPr>
          <w:rFonts w:ascii="Times New Roman" w:hAnsi="Times New Roman" w:cs="Times New Roman"/>
          <w:color w:val="000000"/>
        </w:rPr>
        <w:t>, observando-se o procedimento previsto na Lei nº 8.666, de 1993, e subsidiariamente a Lei nº 9.784, de 1999.</w:t>
      </w: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lastRenderedPageBreak/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7A67B4" w:rsidRDefault="001E14AF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>As penalidades serão obrigatoriamente registradas no SICAF.</w:t>
      </w:r>
    </w:p>
    <w:p w:rsidR="00703AF9" w:rsidRDefault="00703AF9" w:rsidP="0081116E">
      <w:pPr>
        <w:spacing w:line="360" w:lineRule="auto"/>
        <w:ind w:left="425"/>
        <w:jc w:val="both"/>
        <w:rPr>
          <w:rFonts w:ascii="Times New Roman" w:hAnsi="Times New Roman" w:cs="Times New Roman"/>
        </w:rPr>
      </w:pPr>
    </w:p>
    <w:p w:rsidR="000A201C" w:rsidRDefault="000A201C" w:rsidP="0081116E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A217C">
        <w:rPr>
          <w:rFonts w:ascii="Times New Roman" w:hAnsi="Times New Roman" w:cs="Times New Roman"/>
          <w:b/>
          <w:bCs/>
          <w:color w:val="000000"/>
        </w:rPr>
        <w:t>RESPONSÁVEL PELO TERMO DE REFERÊNCIA</w:t>
      </w:r>
    </w:p>
    <w:p w:rsidR="0011425F" w:rsidRPr="007A217C" w:rsidRDefault="0011425F" w:rsidP="0011425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A201C" w:rsidRPr="007A67B4" w:rsidRDefault="000A201C" w:rsidP="0081116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A67B4">
        <w:rPr>
          <w:rFonts w:ascii="Times New Roman" w:hAnsi="Times New Roman" w:cs="Times New Roman"/>
          <w:color w:val="000000"/>
        </w:rPr>
        <w:t xml:space="preserve">O presente “TERMO DE REFERÊNCIA” foi elaborado pelo subscritor no uso de suas atribuições legais e normativas aplicáveis sendo sugerido o envio a Procuradoria Jurídica. Ademais, submeto-o à aprovação do Senhor Prefeito Universitário da UFPB – </w:t>
      </w:r>
      <w:proofErr w:type="spellStart"/>
      <w:r w:rsidRPr="007A67B4">
        <w:rPr>
          <w:rFonts w:ascii="Times New Roman" w:hAnsi="Times New Roman" w:cs="Times New Roman"/>
          <w:color w:val="000000"/>
        </w:rPr>
        <w:t>Câmpus</w:t>
      </w:r>
      <w:proofErr w:type="spellEnd"/>
      <w:r w:rsidRPr="007A67B4">
        <w:rPr>
          <w:rFonts w:ascii="Times New Roman" w:hAnsi="Times New Roman" w:cs="Times New Roman"/>
          <w:color w:val="000000"/>
        </w:rPr>
        <w:t xml:space="preserve"> I, Ordenador de Despesas desta Unidade Gestora, integrando o processo licitatório.</w:t>
      </w:r>
    </w:p>
    <w:p w:rsidR="000A201C" w:rsidRPr="00001727" w:rsidRDefault="000A201C" w:rsidP="003C1651">
      <w:pPr>
        <w:autoSpaceDE w:val="0"/>
        <w:autoSpaceDN w:val="0"/>
        <w:adjustRightInd w:val="0"/>
        <w:spacing w:line="360" w:lineRule="auto"/>
        <w:jc w:val="right"/>
        <w:rPr>
          <w:rFonts w:ascii="Cambria" w:hAnsi="Cambria" w:cs="Times New Roman"/>
          <w:color w:val="000000"/>
        </w:rPr>
      </w:pPr>
      <w:r w:rsidRPr="00001727">
        <w:rPr>
          <w:rFonts w:ascii="Cambria" w:hAnsi="Cambria" w:cs="Times New Roman"/>
          <w:color w:val="000000"/>
        </w:rPr>
        <w:t>Segue à apreciação superior.</w:t>
      </w:r>
    </w:p>
    <w:p w:rsidR="000A201C" w:rsidRPr="003C1651" w:rsidRDefault="000A201C" w:rsidP="003C1651">
      <w:pPr>
        <w:spacing w:line="360" w:lineRule="auto"/>
        <w:ind w:right="-1"/>
        <w:jc w:val="right"/>
        <w:rPr>
          <w:rFonts w:ascii="Times New Roman" w:hAnsi="Times New Roman" w:cs="Times New Roman"/>
          <w:sz w:val="10"/>
          <w:szCs w:val="10"/>
        </w:rPr>
      </w:pPr>
    </w:p>
    <w:p w:rsidR="000A201C" w:rsidRDefault="000A201C" w:rsidP="003C1651">
      <w:pPr>
        <w:spacing w:line="360" w:lineRule="auto"/>
        <w:ind w:right="-1"/>
        <w:jc w:val="right"/>
        <w:rPr>
          <w:rFonts w:ascii="Times New Roman" w:hAnsi="Times New Roman" w:cs="Times New Roman"/>
        </w:rPr>
      </w:pPr>
      <w:r w:rsidRPr="00C832C7">
        <w:rPr>
          <w:rFonts w:ascii="Times New Roman" w:hAnsi="Times New Roman" w:cs="Times New Roman"/>
        </w:rPr>
        <w:t>J</w:t>
      </w:r>
      <w:r w:rsidR="00703AF9">
        <w:rPr>
          <w:rFonts w:ascii="Times New Roman" w:hAnsi="Times New Roman" w:cs="Times New Roman"/>
        </w:rPr>
        <w:t xml:space="preserve">oão Pessoa, </w:t>
      </w:r>
      <w:r w:rsidR="0030091F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de </w:t>
      </w:r>
      <w:r w:rsidR="00703AF9">
        <w:rPr>
          <w:rFonts w:ascii="Times New Roman" w:hAnsi="Times New Roman" w:cs="Times New Roman"/>
        </w:rPr>
        <w:t>agosto</w:t>
      </w:r>
      <w:r>
        <w:rPr>
          <w:rFonts w:ascii="Times New Roman" w:hAnsi="Times New Roman" w:cs="Times New Roman"/>
        </w:rPr>
        <w:t xml:space="preserve"> de 2016.</w:t>
      </w:r>
    </w:p>
    <w:p w:rsidR="003C1651" w:rsidRDefault="003C1651" w:rsidP="0081116E">
      <w:pPr>
        <w:spacing w:line="360" w:lineRule="auto"/>
        <w:ind w:right="-567"/>
        <w:rPr>
          <w:rFonts w:ascii="Times New Roman" w:hAnsi="Times New Roman" w:cs="Times New Roman"/>
        </w:rPr>
      </w:pPr>
    </w:p>
    <w:p w:rsidR="000A201C" w:rsidRDefault="000D354D" w:rsidP="0081116E">
      <w:pPr>
        <w:spacing w:line="360" w:lineRule="auto"/>
        <w:ind w:right="-567"/>
        <w:rPr>
          <w:rFonts w:ascii="Times New Roman" w:hAnsi="Times New Roman" w:cs="Times New Roman"/>
        </w:rPr>
      </w:pPr>
      <w:bookmarkStart w:id="0" w:name="_GoBack"/>
      <w:bookmarkEnd w:id="0"/>
      <w:r w:rsidRPr="000D354D">
        <w:rPr>
          <w:rFonts w:asciiTheme="minorHAnsi" w:hAnsiTheme="minorHAnsi" w:cstheme="minorBidi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17" o:spid="_x0000_s1026" type="#_x0000_t202" style="position:absolute;margin-left:85.2pt;margin-top:2.75pt;width:207.75pt;height:56.1pt;z-index:251657216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" stroked="f">
            <v:textbox>
              <w:txbxContent>
                <w:p w:rsidR="00D065D5" w:rsidRPr="003C1651" w:rsidRDefault="00D065D5" w:rsidP="000A201C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D065D5" w:rsidRPr="003C1651" w:rsidRDefault="00D065D5" w:rsidP="000A201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C16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AMAURI DE SOUZA FÉLIX</w:t>
                  </w:r>
                </w:p>
                <w:p w:rsidR="00D065D5" w:rsidRPr="003C1651" w:rsidRDefault="00D065D5" w:rsidP="000A201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C16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Diretor da Divisão de Serviços Gerais </w:t>
                  </w:r>
                </w:p>
                <w:p w:rsidR="00D065D5" w:rsidRPr="003B3D3E" w:rsidRDefault="00D065D5" w:rsidP="000A201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3C165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Matrícula 0335557</w:t>
                  </w:r>
                </w:p>
              </w:txbxContent>
            </v:textbox>
            <w10:wrap type="square" anchorx="margin"/>
          </v:shape>
        </w:pict>
      </w:r>
    </w:p>
    <w:p w:rsidR="000A201C" w:rsidRDefault="000A201C" w:rsidP="0081116E">
      <w:pPr>
        <w:spacing w:line="360" w:lineRule="auto"/>
        <w:ind w:right="-567"/>
        <w:jc w:val="right"/>
        <w:rPr>
          <w:rFonts w:ascii="Times New Roman" w:hAnsi="Times New Roman" w:cs="Times New Roman"/>
          <w:color w:val="FF0000"/>
        </w:rPr>
      </w:pPr>
    </w:p>
    <w:p w:rsidR="000A201C" w:rsidRDefault="000A201C" w:rsidP="0081116E">
      <w:pPr>
        <w:spacing w:line="360" w:lineRule="auto"/>
        <w:ind w:right="-567"/>
        <w:jc w:val="right"/>
        <w:rPr>
          <w:rFonts w:ascii="Times New Roman" w:hAnsi="Times New Roman" w:cs="Times New Roman"/>
          <w:color w:val="FF0000"/>
        </w:rPr>
      </w:pPr>
    </w:p>
    <w:p w:rsidR="000A201C" w:rsidRPr="00284827" w:rsidRDefault="000D354D" w:rsidP="0081116E">
      <w:pPr>
        <w:spacing w:line="360" w:lineRule="auto"/>
        <w:ind w:right="-567"/>
        <w:jc w:val="right"/>
        <w:rPr>
          <w:rFonts w:ascii="Times New Roman" w:eastAsia="Calibri" w:hAnsi="Times New Roman" w:cs="Times New Roman"/>
        </w:rPr>
      </w:pPr>
      <w:r w:rsidRPr="000D354D">
        <w:rPr>
          <w:rFonts w:asciiTheme="minorHAnsi" w:eastAsiaTheme="minorHAnsi" w:hAnsiTheme="minorHAnsi" w:cstheme="minorBidi"/>
          <w:noProof/>
          <w:sz w:val="22"/>
          <w:szCs w:val="22"/>
        </w:rPr>
        <w:pict>
          <v:shape id="Caixa de Texto 35" o:spid="_x0000_s1027" type="#_x0000_t202" style="position:absolute;left:0;text-align:left;margin-left:196.2pt;margin-top:13.4pt;width:231pt;height:135.75pt;z-index:251658240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" strokecolor="black [3213]" strokeweight="1.5pt">
            <v:textbox>
              <w:txbxContent>
                <w:p w:rsidR="00D065D5" w:rsidRPr="00F44E3C" w:rsidRDefault="00D065D5" w:rsidP="000A201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4E3C">
                    <w:rPr>
                      <w:rFonts w:ascii="Times New Roman" w:hAnsi="Times New Roman" w:cs="Times New Roman"/>
                      <w:b/>
                    </w:rPr>
                    <w:t>ORDENADOR DE DESPESA</w:t>
                  </w:r>
                </w:p>
                <w:p w:rsidR="00D065D5" w:rsidRPr="00F44E3C" w:rsidRDefault="00D065D5" w:rsidP="000A201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D065D5" w:rsidRPr="00F44E3C" w:rsidRDefault="00D065D5" w:rsidP="000A201C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F44E3C">
                    <w:rPr>
                      <w:rFonts w:ascii="Times New Roman" w:hAnsi="Times New Roman" w:cs="Times New Roman"/>
                      <w:b/>
                    </w:rPr>
                    <w:t>Aprovo o presente Termo de Referência e autorizo a realização da licitação.</w:t>
                  </w:r>
                </w:p>
                <w:p w:rsidR="00D065D5" w:rsidRPr="00F44E3C" w:rsidRDefault="00D065D5" w:rsidP="000A201C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D065D5" w:rsidRPr="0030091F" w:rsidRDefault="00D065D5" w:rsidP="000A201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30091F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__________________________________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____</w:t>
                  </w:r>
                </w:p>
                <w:p w:rsidR="00D065D5" w:rsidRPr="0030091F" w:rsidRDefault="00D065D5" w:rsidP="00703AF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9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FRANCISCO PEREIRA DA SILA JÚNIOR</w:t>
                  </w:r>
                </w:p>
                <w:p w:rsidR="00D065D5" w:rsidRPr="0030091F" w:rsidRDefault="00D065D5" w:rsidP="00703AF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9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Prefeito Universitário</w:t>
                  </w:r>
                </w:p>
                <w:p w:rsidR="00D065D5" w:rsidRPr="0030091F" w:rsidRDefault="00D065D5" w:rsidP="003855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09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Mat. SIAPE nº. 332469</w:t>
                  </w:r>
                </w:p>
              </w:txbxContent>
            </v:textbox>
            <w10:wrap type="square" anchorx="margin"/>
          </v:shape>
        </w:pict>
      </w:r>
    </w:p>
    <w:p w:rsidR="00AD750E" w:rsidRDefault="00AD750E" w:rsidP="0081116E">
      <w:pPr>
        <w:spacing w:line="360" w:lineRule="auto"/>
        <w:ind w:left="425"/>
        <w:jc w:val="both"/>
        <w:rPr>
          <w:rFonts w:ascii="Times New Roman" w:hAnsi="Times New Roman" w:cs="Times New Roman"/>
        </w:rPr>
      </w:pPr>
    </w:p>
    <w:p w:rsidR="00AD750E" w:rsidRDefault="00AD750E" w:rsidP="0081116E">
      <w:pPr>
        <w:spacing w:line="360" w:lineRule="auto"/>
        <w:ind w:left="425"/>
        <w:jc w:val="both"/>
        <w:rPr>
          <w:rFonts w:ascii="Times New Roman" w:hAnsi="Times New Roman" w:cs="Times New Roman"/>
        </w:rPr>
      </w:pPr>
    </w:p>
    <w:p w:rsidR="00AD750E" w:rsidRPr="00AD750E" w:rsidRDefault="00AD750E" w:rsidP="0081116E">
      <w:pPr>
        <w:spacing w:line="360" w:lineRule="auto"/>
        <w:jc w:val="both"/>
        <w:rPr>
          <w:rFonts w:ascii="Times New Roman" w:hAnsi="Times New Roman" w:cs="Times New Roman"/>
          <w:i/>
        </w:rPr>
      </w:pPr>
    </w:p>
    <w:sectPr w:rsidR="00AD750E" w:rsidRPr="00AD750E" w:rsidSect="0011425F">
      <w:headerReference w:type="default" r:id="rId8"/>
      <w:footerReference w:type="default" r:id="rId9"/>
      <w:pgSz w:w="11906" w:h="16838"/>
      <w:pgMar w:top="1985" w:right="170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5D5" w:rsidRDefault="00D065D5">
      <w:r>
        <w:separator/>
      </w:r>
    </w:p>
  </w:endnote>
  <w:endnote w:type="continuationSeparator" w:id="0">
    <w:p w:rsidR="00D065D5" w:rsidRDefault="00D06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86544574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D065D5" w:rsidRPr="000A201C" w:rsidRDefault="00D065D5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01C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1425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14</w: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0A201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1425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14</w:t>
            </w:r>
            <w:r w:rsidR="000D354D" w:rsidRPr="000A2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sdt>
    <w:sdtPr>
      <w:rPr>
        <w:rFonts w:ascii="Times New Roman" w:hAnsi="Times New Roman" w:cs="Times New Roman"/>
        <w:szCs w:val="20"/>
      </w:rPr>
      <w:id w:val="-1949152458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rFonts w:ascii="Times New Roman" w:hAnsi="Times New Roman" w:cs="Times New Roman"/>
            <w:szCs w:val="20"/>
          </w:rPr>
          <w:id w:val="-1820729538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D065D5" w:rsidRPr="001472BB" w:rsidRDefault="00D065D5" w:rsidP="000A201C">
            <w:pPr>
              <w:pStyle w:val="Rodap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D065D5" w:rsidRPr="001472BB" w:rsidRDefault="00D065D5" w:rsidP="000A201C">
            <w:pPr>
              <w:pStyle w:val="Rodap"/>
              <w:tabs>
                <w:tab w:val="clear" w:pos="4252"/>
                <w:tab w:val="center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2BB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577215</wp:posOffset>
                  </wp:positionH>
                  <wp:positionV relativeFrom="paragraph">
                    <wp:posOffset>43498</wp:posOffset>
                  </wp:positionV>
                  <wp:extent cx="261257" cy="30480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U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257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472BB">
              <w:rPr>
                <w:rFonts w:ascii="Times New Roman" w:hAnsi="Times New Roman" w:cs="Times New Roman"/>
                <w:sz w:val="20"/>
                <w:szCs w:val="20"/>
              </w:rPr>
              <w:t xml:space="preserve">Universidade Federal da Paraíba – Prefeitura Universitária </w:t>
            </w:r>
            <w:proofErr w:type="spellStart"/>
            <w:r w:rsidRPr="001472BB">
              <w:rPr>
                <w:rFonts w:ascii="Times New Roman" w:hAnsi="Times New Roman" w:cs="Times New Roman"/>
                <w:sz w:val="20"/>
                <w:szCs w:val="20"/>
              </w:rPr>
              <w:t>Câmpus</w:t>
            </w:r>
            <w:proofErr w:type="spellEnd"/>
            <w:r w:rsidRPr="001472BB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  <w:p w:rsidR="00D065D5" w:rsidRPr="001472BB" w:rsidRDefault="00D065D5" w:rsidP="000A201C">
            <w:pPr>
              <w:pStyle w:val="Rodap"/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2BB">
              <w:rPr>
                <w:rFonts w:ascii="Times New Roman" w:hAnsi="Times New Roman" w:cs="Times New Roman"/>
                <w:sz w:val="20"/>
                <w:szCs w:val="20"/>
              </w:rPr>
              <w:t>Cidade universitária - João Pessoa - PB – Brasil CEP: 58051-900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5D5" w:rsidRDefault="00D065D5">
      <w:r>
        <w:separator/>
      </w:r>
    </w:p>
  </w:footnote>
  <w:footnote w:type="continuationSeparator" w:id="0">
    <w:p w:rsidR="00D065D5" w:rsidRDefault="00D06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5D5" w:rsidRPr="005D7842" w:rsidRDefault="00D065D5" w:rsidP="000A201C">
    <w:pPr>
      <w:pStyle w:val="Cabealho"/>
      <w:ind w:left="708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-107950</wp:posOffset>
          </wp:positionV>
          <wp:extent cx="585158" cy="838200"/>
          <wp:effectExtent l="0" t="0" r="0" b="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8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7842">
      <w:rPr>
        <w:rFonts w:ascii="Times New Roman" w:hAnsi="Times New Roman" w:cs="Times New Roman"/>
        <w:b/>
        <w:sz w:val="28"/>
        <w:szCs w:val="28"/>
      </w:rPr>
      <w:t>UNIVERSIDADE FEDERAL DA PARAÍBA</w:t>
    </w:r>
  </w:p>
  <w:p w:rsidR="00D065D5" w:rsidRDefault="00D065D5" w:rsidP="000A201C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5D7842">
      <w:rPr>
        <w:rFonts w:ascii="Times New Roman" w:hAnsi="Times New Roman" w:cs="Times New Roman"/>
        <w:b/>
        <w:sz w:val="28"/>
        <w:szCs w:val="28"/>
      </w:rPr>
      <w:t>PREFEITURA UNIVERSITÁRIA</w:t>
    </w:r>
  </w:p>
  <w:p w:rsidR="00D065D5" w:rsidRPr="005D7842" w:rsidRDefault="00D065D5" w:rsidP="000A201C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5D7842">
      <w:rPr>
        <w:rFonts w:ascii="Times New Roman" w:hAnsi="Times New Roman" w:cs="Times New Roman"/>
        <w:b/>
        <w:sz w:val="28"/>
        <w:szCs w:val="28"/>
      </w:rPr>
      <w:t>DIVISÃO DE SERVIÇOS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E0F13"/>
    <w:multiLevelType w:val="hybridMultilevel"/>
    <w:tmpl w:val="11183376"/>
    <w:lvl w:ilvl="0" w:tplc="A70AD7FA">
      <w:start w:val="1"/>
      <w:numFmt w:val="lowerLetter"/>
      <w:suff w:val="space"/>
      <w:lvlText w:val="%1."/>
      <w:lvlJc w:val="left"/>
      <w:pPr>
        <w:ind w:left="164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5">
    <w:nsid w:val="4333462A"/>
    <w:multiLevelType w:val="hybridMultilevel"/>
    <w:tmpl w:val="6B7E4A10"/>
    <w:lvl w:ilvl="0" w:tplc="03EA6E28">
      <w:start w:val="1"/>
      <w:numFmt w:val="lowerLetter"/>
      <w:suff w:val="space"/>
      <w:lvlText w:val="%1."/>
      <w:lvlJc w:val="left"/>
      <w:pPr>
        <w:ind w:left="164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46091A8B"/>
    <w:multiLevelType w:val="multilevel"/>
    <w:tmpl w:val="E9420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4643969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6DA2555"/>
    <w:multiLevelType w:val="hybridMultilevel"/>
    <w:tmpl w:val="CDA0FCB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EE85D8E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30"/>
  </w:num>
  <w:num w:numId="5">
    <w:abstractNumId w:val="15"/>
  </w:num>
  <w:num w:numId="6">
    <w:abstractNumId w:val="24"/>
  </w:num>
  <w:num w:numId="7">
    <w:abstractNumId w:val="21"/>
  </w:num>
  <w:num w:numId="8">
    <w:abstractNumId w:val="22"/>
  </w:num>
  <w:num w:numId="9">
    <w:abstractNumId w:val="27"/>
  </w:num>
  <w:num w:numId="10">
    <w:abstractNumId w:val="11"/>
  </w:num>
  <w:num w:numId="11">
    <w:abstractNumId w:val="23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4"/>
  </w:num>
  <w:num w:numId="29">
    <w:abstractNumId w:val="31"/>
  </w:num>
  <w:num w:numId="30">
    <w:abstractNumId w:val="33"/>
  </w:num>
  <w:num w:numId="31">
    <w:abstractNumId w:val="28"/>
  </w:num>
  <w:num w:numId="32">
    <w:abstractNumId w:val="29"/>
  </w:num>
  <w:num w:numId="33">
    <w:abstractNumId w:val="26"/>
  </w:num>
  <w:num w:numId="34">
    <w:abstractNumId w:val="34"/>
  </w:num>
  <w:num w:numId="35">
    <w:abstractNumId w:val="25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73282"/>
    <w:rsid w:val="0000236D"/>
    <w:rsid w:val="00003298"/>
    <w:rsid w:val="0001661B"/>
    <w:rsid w:val="0002260C"/>
    <w:rsid w:val="0002306D"/>
    <w:rsid w:val="000242C8"/>
    <w:rsid w:val="00027155"/>
    <w:rsid w:val="000318BA"/>
    <w:rsid w:val="00034A29"/>
    <w:rsid w:val="00040957"/>
    <w:rsid w:val="0004568C"/>
    <w:rsid w:val="00047D73"/>
    <w:rsid w:val="00056433"/>
    <w:rsid w:val="00060414"/>
    <w:rsid w:val="00062853"/>
    <w:rsid w:val="00062C9B"/>
    <w:rsid w:val="0006537A"/>
    <w:rsid w:val="000661FE"/>
    <w:rsid w:val="000670EC"/>
    <w:rsid w:val="000677A2"/>
    <w:rsid w:val="00070EA5"/>
    <w:rsid w:val="00073282"/>
    <w:rsid w:val="00075206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01C"/>
    <w:rsid w:val="000A23DA"/>
    <w:rsid w:val="000A674F"/>
    <w:rsid w:val="000A7C00"/>
    <w:rsid w:val="000B65A7"/>
    <w:rsid w:val="000B7B55"/>
    <w:rsid w:val="000C123B"/>
    <w:rsid w:val="000C21AD"/>
    <w:rsid w:val="000C2C16"/>
    <w:rsid w:val="000C5B61"/>
    <w:rsid w:val="000C670A"/>
    <w:rsid w:val="000D2A1E"/>
    <w:rsid w:val="000D2AC3"/>
    <w:rsid w:val="000D354D"/>
    <w:rsid w:val="000F1C1C"/>
    <w:rsid w:val="000F4088"/>
    <w:rsid w:val="000F4F96"/>
    <w:rsid w:val="000F5A07"/>
    <w:rsid w:val="00100990"/>
    <w:rsid w:val="00105707"/>
    <w:rsid w:val="001103FF"/>
    <w:rsid w:val="00113EEB"/>
    <w:rsid w:val="0011425F"/>
    <w:rsid w:val="001219B0"/>
    <w:rsid w:val="0012310A"/>
    <w:rsid w:val="00124990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76FB"/>
    <w:rsid w:val="001B005B"/>
    <w:rsid w:val="001B4352"/>
    <w:rsid w:val="001B6349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106D"/>
    <w:rsid w:val="00213E33"/>
    <w:rsid w:val="00221BA5"/>
    <w:rsid w:val="00222980"/>
    <w:rsid w:val="002241A2"/>
    <w:rsid w:val="00231E8F"/>
    <w:rsid w:val="00231E9C"/>
    <w:rsid w:val="00240B17"/>
    <w:rsid w:val="00241D78"/>
    <w:rsid w:val="00242C3C"/>
    <w:rsid w:val="00246DAE"/>
    <w:rsid w:val="002538B4"/>
    <w:rsid w:val="002538E3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192D"/>
    <w:rsid w:val="002937D4"/>
    <w:rsid w:val="00294F04"/>
    <w:rsid w:val="002C54C1"/>
    <w:rsid w:val="002D78B4"/>
    <w:rsid w:val="002D7C8E"/>
    <w:rsid w:val="002E160F"/>
    <w:rsid w:val="002E3F91"/>
    <w:rsid w:val="002E480D"/>
    <w:rsid w:val="002E5F6B"/>
    <w:rsid w:val="002F084D"/>
    <w:rsid w:val="002F308B"/>
    <w:rsid w:val="0030091F"/>
    <w:rsid w:val="003022D4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658A"/>
    <w:rsid w:val="00364141"/>
    <w:rsid w:val="00367EF6"/>
    <w:rsid w:val="003727BF"/>
    <w:rsid w:val="00373F2A"/>
    <w:rsid w:val="0037433B"/>
    <w:rsid w:val="003779A2"/>
    <w:rsid w:val="0038139C"/>
    <w:rsid w:val="003855C7"/>
    <w:rsid w:val="00386157"/>
    <w:rsid w:val="00386ADE"/>
    <w:rsid w:val="00391E14"/>
    <w:rsid w:val="003959F6"/>
    <w:rsid w:val="003A438D"/>
    <w:rsid w:val="003A73C1"/>
    <w:rsid w:val="003B791E"/>
    <w:rsid w:val="003C1651"/>
    <w:rsid w:val="003C609E"/>
    <w:rsid w:val="003C6275"/>
    <w:rsid w:val="003D69A5"/>
    <w:rsid w:val="003E34F6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0FAC"/>
    <w:rsid w:val="0042190C"/>
    <w:rsid w:val="00425359"/>
    <w:rsid w:val="004316D7"/>
    <w:rsid w:val="00431EDA"/>
    <w:rsid w:val="0043231C"/>
    <w:rsid w:val="00432470"/>
    <w:rsid w:val="00435447"/>
    <w:rsid w:val="00435C1A"/>
    <w:rsid w:val="00441EA1"/>
    <w:rsid w:val="00441F34"/>
    <w:rsid w:val="00445798"/>
    <w:rsid w:val="0044725C"/>
    <w:rsid w:val="00447465"/>
    <w:rsid w:val="00451D98"/>
    <w:rsid w:val="00455CBE"/>
    <w:rsid w:val="00455EB7"/>
    <w:rsid w:val="00455FD5"/>
    <w:rsid w:val="00460E8A"/>
    <w:rsid w:val="00461FC7"/>
    <w:rsid w:val="0046230A"/>
    <w:rsid w:val="00462C95"/>
    <w:rsid w:val="0046486A"/>
    <w:rsid w:val="00470D04"/>
    <w:rsid w:val="00473A3D"/>
    <w:rsid w:val="004773FC"/>
    <w:rsid w:val="00480328"/>
    <w:rsid w:val="004834FC"/>
    <w:rsid w:val="00483B15"/>
    <w:rsid w:val="00483FB9"/>
    <w:rsid w:val="00491452"/>
    <w:rsid w:val="00494AE7"/>
    <w:rsid w:val="004A030A"/>
    <w:rsid w:val="004A5AC6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6184"/>
    <w:rsid w:val="004F1471"/>
    <w:rsid w:val="004F5DB8"/>
    <w:rsid w:val="004F5DF9"/>
    <w:rsid w:val="004F66B4"/>
    <w:rsid w:val="004F78C6"/>
    <w:rsid w:val="0050224C"/>
    <w:rsid w:val="005037A6"/>
    <w:rsid w:val="00512D53"/>
    <w:rsid w:val="00514883"/>
    <w:rsid w:val="0053132E"/>
    <w:rsid w:val="00541017"/>
    <w:rsid w:val="00561C04"/>
    <w:rsid w:val="0056213B"/>
    <w:rsid w:val="00562F82"/>
    <w:rsid w:val="00564913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D8"/>
    <w:rsid w:val="005E1321"/>
    <w:rsid w:val="005E2DD4"/>
    <w:rsid w:val="005E412D"/>
    <w:rsid w:val="005E42D1"/>
    <w:rsid w:val="005E6D43"/>
    <w:rsid w:val="005F6F64"/>
    <w:rsid w:val="005F7B0A"/>
    <w:rsid w:val="005F7DA5"/>
    <w:rsid w:val="00602426"/>
    <w:rsid w:val="00605C11"/>
    <w:rsid w:val="00606440"/>
    <w:rsid w:val="006078C2"/>
    <w:rsid w:val="006171A9"/>
    <w:rsid w:val="00622180"/>
    <w:rsid w:val="00623436"/>
    <w:rsid w:val="00640F39"/>
    <w:rsid w:val="00655AAF"/>
    <w:rsid w:val="00656A30"/>
    <w:rsid w:val="006673E7"/>
    <w:rsid w:val="00674964"/>
    <w:rsid w:val="00680B7E"/>
    <w:rsid w:val="00683B94"/>
    <w:rsid w:val="00686692"/>
    <w:rsid w:val="006920F8"/>
    <w:rsid w:val="00693033"/>
    <w:rsid w:val="00693321"/>
    <w:rsid w:val="006939EC"/>
    <w:rsid w:val="00694893"/>
    <w:rsid w:val="00694DD9"/>
    <w:rsid w:val="006A0037"/>
    <w:rsid w:val="006A12B1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7F"/>
    <w:rsid w:val="007028C7"/>
    <w:rsid w:val="00703AF9"/>
    <w:rsid w:val="00704462"/>
    <w:rsid w:val="00710C7E"/>
    <w:rsid w:val="0073044F"/>
    <w:rsid w:val="00733DE0"/>
    <w:rsid w:val="007357C5"/>
    <w:rsid w:val="0074032D"/>
    <w:rsid w:val="00740D25"/>
    <w:rsid w:val="00741328"/>
    <w:rsid w:val="00752B1F"/>
    <w:rsid w:val="0075531C"/>
    <w:rsid w:val="00756F76"/>
    <w:rsid w:val="007657EE"/>
    <w:rsid w:val="007679B9"/>
    <w:rsid w:val="007718A7"/>
    <w:rsid w:val="00776572"/>
    <w:rsid w:val="00776D50"/>
    <w:rsid w:val="0077738D"/>
    <w:rsid w:val="007774C2"/>
    <w:rsid w:val="00783DC8"/>
    <w:rsid w:val="0078540E"/>
    <w:rsid w:val="00787771"/>
    <w:rsid w:val="00787D28"/>
    <w:rsid w:val="0079000C"/>
    <w:rsid w:val="00790D93"/>
    <w:rsid w:val="00791CD7"/>
    <w:rsid w:val="0079430D"/>
    <w:rsid w:val="0079754C"/>
    <w:rsid w:val="007A080B"/>
    <w:rsid w:val="007A1395"/>
    <w:rsid w:val="007A217C"/>
    <w:rsid w:val="007A67B4"/>
    <w:rsid w:val="007A7341"/>
    <w:rsid w:val="007B19CE"/>
    <w:rsid w:val="007B6C36"/>
    <w:rsid w:val="007B7C23"/>
    <w:rsid w:val="007C0255"/>
    <w:rsid w:val="007C09C8"/>
    <w:rsid w:val="007C0C22"/>
    <w:rsid w:val="007C13ED"/>
    <w:rsid w:val="007C2707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5C84"/>
    <w:rsid w:val="0080756C"/>
    <w:rsid w:val="0081116E"/>
    <w:rsid w:val="00812ACB"/>
    <w:rsid w:val="00813602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59F1"/>
    <w:rsid w:val="00855E5A"/>
    <w:rsid w:val="008601A9"/>
    <w:rsid w:val="00862733"/>
    <w:rsid w:val="00865B0D"/>
    <w:rsid w:val="00871B33"/>
    <w:rsid w:val="00872949"/>
    <w:rsid w:val="00881C5C"/>
    <w:rsid w:val="00887874"/>
    <w:rsid w:val="008941DB"/>
    <w:rsid w:val="008A16EA"/>
    <w:rsid w:val="008B057C"/>
    <w:rsid w:val="008B6162"/>
    <w:rsid w:val="008B6E84"/>
    <w:rsid w:val="008C04DF"/>
    <w:rsid w:val="008C1971"/>
    <w:rsid w:val="008C1AF7"/>
    <w:rsid w:val="008D0EE5"/>
    <w:rsid w:val="008D2CAF"/>
    <w:rsid w:val="008D3ACE"/>
    <w:rsid w:val="008D51CC"/>
    <w:rsid w:val="008E1D57"/>
    <w:rsid w:val="008E4F95"/>
    <w:rsid w:val="008F4D52"/>
    <w:rsid w:val="008F4E41"/>
    <w:rsid w:val="008F63BA"/>
    <w:rsid w:val="0090408D"/>
    <w:rsid w:val="00904E6B"/>
    <w:rsid w:val="00906EEC"/>
    <w:rsid w:val="00914204"/>
    <w:rsid w:val="00915C7E"/>
    <w:rsid w:val="00920FAA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23AB"/>
    <w:rsid w:val="00970053"/>
    <w:rsid w:val="00970A6B"/>
    <w:rsid w:val="009763C4"/>
    <w:rsid w:val="00976832"/>
    <w:rsid w:val="00977F85"/>
    <w:rsid w:val="009803F1"/>
    <w:rsid w:val="009844F7"/>
    <w:rsid w:val="0099079E"/>
    <w:rsid w:val="00995FFD"/>
    <w:rsid w:val="009A1099"/>
    <w:rsid w:val="009A45B0"/>
    <w:rsid w:val="009A6A6F"/>
    <w:rsid w:val="009B1586"/>
    <w:rsid w:val="009B1B69"/>
    <w:rsid w:val="009C470D"/>
    <w:rsid w:val="009C638B"/>
    <w:rsid w:val="009D3626"/>
    <w:rsid w:val="009D68FB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6245"/>
    <w:rsid w:val="00A03EAE"/>
    <w:rsid w:val="00A055A5"/>
    <w:rsid w:val="00A12A7C"/>
    <w:rsid w:val="00A1330E"/>
    <w:rsid w:val="00A25F2A"/>
    <w:rsid w:val="00A402A1"/>
    <w:rsid w:val="00A44175"/>
    <w:rsid w:val="00A4565E"/>
    <w:rsid w:val="00A47893"/>
    <w:rsid w:val="00A50A06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436A"/>
    <w:rsid w:val="00A856EB"/>
    <w:rsid w:val="00A9022E"/>
    <w:rsid w:val="00A914E1"/>
    <w:rsid w:val="00A96322"/>
    <w:rsid w:val="00AA1165"/>
    <w:rsid w:val="00AA3F31"/>
    <w:rsid w:val="00AA4625"/>
    <w:rsid w:val="00AB1F1A"/>
    <w:rsid w:val="00AC2965"/>
    <w:rsid w:val="00AC4F34"/>
    <w:rsid w:val="00AC6EC2"/>
    <w:rsid w:val="00AD750E"/>
    <w:rsid w:val="00AE3A63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3F8B"/>
    <w:rsid w:val="00B24365"/>
    <w:rsid w:val="00B27724"/>
    <w:rsid w:val="00B30F3D"/>
    <w:rsid w:val="00B41552"/>
    <w:rsid w:val="00B432A0"/>
    <w:rsid w:val="00B4738B"/>
    <w:rsid w:val="00B50E09"/>
    <w:rsid w:val="00B517F7"/>
    <w:rsid w:val="00B52AFC"/>
    <w:rsid w:val="00B52EFE"/>
    <w:rsid w:val="00B60DCA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5BFE"/>
    <w:rsid w:val="00B96C22"/>
    <w:rsid w:val="00B972D3"/>
    <w:rsid w:val="00BA1705"/>
    <w:rsid w:val="00BA2132"/>
    <w:rsid w:val="00BA2349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28C5"/>
    <w:rsid w:val="00BE4920"/>
    <w:rsid w:val="00BF0E8E"/>
    <w:rsid w:val="00BF1A7F"/>
    <w:rsid w:val="00BF418F"/>
    <w:rsid w:val="00C00F37"/>
    <w:rsid w:val="00C03F51"/>
    <w:rsid w:val="00C10CC7"/>
    <w:rsid w:val="00C13225"/>
    <w:rsid w:val="00C14C86"/>
    <w:rsid w:val="00C1532D"/>
    <w:rsid w:val="00C229F8"/>
    <w:rsid w:val="00C25803"/>
    <w:rsid w:val="00C322F1"/>
    <w:rsid w:val="00C33284"/>
    <w:rsid w:val="00C371FA"/>
    <w:rsid w:val="00C46F61"/>
    <w:rsid w:val="00C47BB2"/>
    <w:rsid w:val="00C51C28"/>
    <w:rsid w:val="00C53456"/>
    <w:rsid w:val="00C60C2D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6467"/>
    <w:rsid w:val="00C9147C"/>
    <w:rsid w:val="00C95C72"/>
    <w:rsid w:val="00C96B86"/>
    <w:rsid w:val="00C97DF7"/>
    <w:rsid w:val="00CA1A6A"/>
    <w:rsid w:val="00CA6108"/>
    <w:rsid w:val="00CB766B"/>
    <w:rsid w:val="00CC356D"/>
    <w:rsid w:val="00CC62BA"/>
    <w:rsid w:val="00CD109D"/>
    <w:rsid w:val="00CD1845"/>
    <w:rsid w:val="00CD1E9D"/>
    <w:rsid w:val="00CD2BDF"/>
    <w:rsid w:val="00CD6ABB"/>
    <w:rsid w:val="00CE5CF2"/>
    <w:rsid w:val="00CE71E8"/>
    <w:rsid w:val="00D00A5D"/>
    <w:rsid w:val="00D00A87"/>
    <w:rsid w:val="00D02F2F"/>
    <w:rsid w:val="00D065D5"/>
    <w:rsid w:val="00D13087"/>
    <w:rsid w:val="00D139AB"/>
    <w:rsid w:val="00D16FA0"/>
    <w:rsid w:val="00D26DCE"/>
    <w:rsid w:val="00D41AF6"/>
    <w:rsid w:val="00D5130A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05FB"/>
    <w:rsid w:val="00D8724C"/>
    <w:rsid w:val="00D90B4F"/>
    <w:rsid w:val="00D913B8"/>
    <w:rsid w:val="00D938C1"/>
    <w:rsid w:val="00D94484"/>
    <w:rsid w:val="00DA30CA"/>
    <w:rsid w:val="00DA47A8"/>
    <w:rsid w:val="00DA66BE"/>
    <w:rsid w:val="00DB11A0"/>
    <w:rsid w:val="00DB3592"/>
    <w:rsid w:val="00DB4C93"/>
    <w:rsid w:val="00DC3F8A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AD6"/>
    <w:rsid w:val="00E42017"/>
    <w:rsid w:val="00E42730"/>
    <w:rsid w:val="00E46268"/>
    <w:rsid w:val="00E46616"/>
    <w:rsid w:val="00E55854"/>
    <w:rsid w:val="00E5586D"/>
    <w:rsid w:val="00E628AD"/>
    <w:rsid w:val="00E64339"/>
    <w:rsid w:val="00E650CB"/>
    <w:rsid w:val="00E677BD"/>
    <w:rsid w:val="00E70C44"/>
    <w:rsid w:val="00E72B6E"/>
    <w:rsid w:val="00E872A7"/>
    <w:rsid w:val="00E94BFB"/>
    <w:rsid w:val="00EA1761"/>
    <w:rsid w:val="00EA19E9"/>
    <w:rsid w:val="00EA29F6"/>
    <w:rsid w:val="00EA369D"/>
    <w:rsid w:val="00EA411E"/>
    <w:rsid w:val="00EA4F5C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F2538"/>
    <w:rsid w:val="00EF5D36"/>
    <w:rsid w:val="00EF66FC"/>
    <w:rsid w:val="00F0135B"/>
    <w:rsid w:val="00F02E73"/>
    <w:rsid w:val="00F10140"/>
    <w:rsid w:val="00F11BAF"/>
    <w:rsid w:val="00F11CE3"/>
    <w:rsid w:val="00F12BA6"/>
    <w:rsid w:val="00F16FDF"/>
    <w:rsid w:val="00F17DCE"/>
    <w:rsid w:val="00F22750"/>
    <w:rsid w:val="00F23CA1"/>
    <w:rsid w:val="00F2401A"/>
    <w:rsid w:val="00F25F5F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18A"/>
    <w:rsid w:val="00FB154A"/>
    <w:rsid w:val="00FB4456"/>
    <w:rsid w:val="00FB5D74"/>
    <w:rsid w:val="00FC3A0E"/>
    <w:rsid w:val="00FC62D5"/>
    <w:rsid w:val="00FC69B0"/>
    <w:rsid w:val="00FD0A3A"/>
    <w:rsid w:val="00FD16AF"/>
    <w:rsid w:val="00FD1F4D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6D"/>
    <w:rPr>
      <w:rFonts w:ascii="Arial" w:hAnsi="Arial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55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qFormat/>
    <w:rsid w:val="00E558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558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qFormat/>
    <w:rsid w:val="00E5586D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E5586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E5586D"/>
  </w:style>
  <w:style w:type="character" w:customStyle="1" w:styleId="TextodecomentrioChar">
    <w:name w:val="Texto de comentário Char"/>
    <w:basedOn w:val="Fontepargpadro"/>
    <w:link w:val="Textodecomentrio"/>
    <w:rsid w:val="00E5586D"/>
    <w:rPr>
      <w:rFonts w:ascii="Arial" w:hAnsi="Arial" w:cs="Tahoma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0A201C"/>
    <w:pPr>
      <w:widowControl w:val="0"/>
      <w:ind w:left="914" w:hanging="432"/>
    </w:pPr>
    <w:rPr>
      <w:rFonts w:ascii="Calibri" w:eastAsia="Calibri" w:hAnsi="Calibri" w:cstheme="minorBidi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A201C"/>
    <w:rPr>
      <w:rFonts w:ascii="Calibri" w:eastAsia="Calibri" w:hAnsi="Calibr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6D"/>
    <w:rPr>
      <w:rFonts w:ascii="Arial" w:hAnsi="Arial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55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qFormat/>
    <w:rsid w:val="00E558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558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qFormat/>
    <w:rsid w:val="00E5586D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E5586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E5586D"/>
  </w:style>
  <w:style w:type="character" w:customStyle="1" w:styleId="TextodecomentrioChar">
    <w:name w:val="Texto de comentário Char"/>
    <w:basedOn w:val="Fontepargpadro"/>
    <w:link w:val="Textodecomentrio"/>
    <w:rsid w:val="00E5586D"/>
    <w:rPr>
      <w:rFonts w:ascii="Arial" w:hAnsi="Arial" w:cs="Tahoma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0A201C"/>
    <w:pPr>
      <w:widowControl w:val="0"/>
      <w:ind w:left="914" w:hanging="432"/>
    </w:pPr>
    <w:rPr>
      <w:rFonts w:ascii="Calibri" w:eastAsia="Calibri" w:hAnsi="Calibri" w:cstheme="minorBidi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A201C"/>
    <w:rPr>
      <w:rFonts w:ascii="Calibri" w:eastAsia="Calibri" w:hAnsi="Calibri" w:cstheme="min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3765D-92C9-4DFA-9988-8A66DED1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220</TotalTime>
  <Pages>14</Pages>
  <Words>3990</Words>
  <Characters>21683</Characters>
  <Application>Microsoft Office Word</Application>
  <DocSecurity>0</DocSecurity>
  <Lines>180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Pat.65072689</cp:lastModifiedBy>
  <cp:revision>31</cp:revision>
  <cp:lastPrinted>2016-08-26T15:19:00Z</cp:lastPrinted>
  <dcterms:created xsi:type="dcterms:W3CDTF">2016-01-08T20:44:00Z</dcterms:created>
  <dcterms:modified xsi:type="dcterms:W3CDTF">2016-08-26T15:38:00Z</dcterms:modified>
</cp:coreProperties>
</file>