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 w:before="0" w:after="22"/>
        <w:ind w:left="0" w:right="0" w:hanging="0"/>
        <w:jc w:val="center"/>
        <w:rPr/>
      </w:pPr>
      <w:r>
        <w:rPr/>
        <w:drawing>
          <wp:inline distT="0" distB="0" distL="0" distR="0">
            <wp:extent cx="457200" cy="539750"/>
            <wp:effectExtent l="0" t="0" r="0" b="0"/>
            <wp:docPr id="1" name="Picture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59" w:before="0" w:after="0"/>
        <w:ind w:left="0" w:right="204" w:hanging="0"/>
        <w:jc w:val="center"/>
        <w:rPr/>
      </w:pPr>
      <w:r>
        <w:rPr>
          <w:rFonts w:eastAsia="Arial" w:cs="Arial" w:ascii="Arial" w:hAnsi="Arial"/>
          <w:b/>
          <w:sz w:val="24"/>
        </w:rPr>
        <w:t xml:space="preserve">UNIVERSIDADE FEDERAL DA PARAÍBA </w:t>
      </w:r>
    </w:p>
    <w:p>
      <w:pPr>
        <w:pStyle w:val="Normal"/>
        <w:spacing w:lineRule="auto" w:line="259" w:before="0" w:after="0"/>
        <w:ind w:left="0" w:right="5" w:hanging="0"/>
        <w:jc w:val="center"/>
        <w:rPr/>
      </w:pPr>
      <w:r>
        <w:rPr>
          <w:rFonts w:eastAsia="Century Gothic" w:cs="Century Gothic" w:ascii="Century Gothic" w:hAnsi="Century Gothic"/>
        </w:rPr>
        <w:t xml:space="preserve">PREFEITURA UNIVERSITÁRIA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lineRule="auto" w:line="259" w:before="0" w:after="15"/>
        <w:ind w:left="-29" w:right="-28" w:hanging="0"/>
        <w:jc w:val="left"/>
        <w:rPr/>
      </w:pPr>
      <w:r>
        <w:rPr/>
        <mc:AlternateContent>
          <mc:Choice Requires="wpg">
            <w:drawing>
              <wp:inline distT="0" distB="0" distL="0" distR="0">
                <wp:extent cx="5443855" cy="11430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200" cy="108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443200" cy="10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438521" h="9144">
                                <a:moveTo>
                                  <a:pt x="0" y="0"/>
                                </a:moveTo>
                                <a:lnTo>
                                  <a:pt x="5438521" y="0"/>
                                </a:lnTo>
                                <a:lnTo>
                                  <a:pt x="543852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28.6pt;height:0.85pt" coordorigin="0,0" coordsize="8572,17"/>
            </w:pict>
          </mc:Fallback>
        </mc:AlternateContent>
      </w:r>
    </w:p>
    <w:p>
      <w:pPr>
        <w:pStyle w:val="Normal"/>
        <w:spacing w:lineRule="auto" w:line="240" w:before="0" w:after="0"/>
        <w:ind w:left="10" w:right="1" w:hanging="10"/>
        <w:jc w:val="center"/>
        <w:rPr/>
      </w:pPr>
      <w:r>
        <w:rPr>
          <w:b/>
          <w:sz w:val="24"/>
        </w:rPr>
        <w:t>Minuta da ATA DE REGISTRO DE PREÇOS N.º XXX</w:t>
      </w:r>
    </w:p>
    <w:p>
      <w:pPr>
        <w:pStyle w:val="Normal"/>
        <w:spacing w:lineRule="auto" w:line="240" w:before="0" w:after="0"/>
        <w:ind w:left="17" w:right="0" w:hanging="0"/>
        <w:jc w:val="center"/>
        <w:rPr/>
      </w:pPr>
      <w:r>
        <w:rPr>
          <w:b/>
          <w:sz w:val="24"/>
        </w:rPr>
        <w:t>(Processo Administrativo n.°23074.050119/2016-31)</w:t>
      </w:r>
    </w:p>
    <w:p>
      <w:pPr>
        <w:pStyle w:val="Normal"/>
        <w:spacing w:lineRule="auto" w:line="259" w:before="0" w:after="62"/>
        <w:ind w:left="-29" w:right="-28" w:hanging="0"/>
        <w:jc w:val="left"/>
        <w:rPr/>
      </w:pPr>
      <w:r>
        <w:rPr/>
        <mc:AlternateContent>
          <mc:Choice Requires="wpg">
            <w:drawing>
              <wp:inline distT="0" distB="0" distL="0" distR="0">
                <wp:extent cx="5443855" cy="11430"/>
                <wp:effectExtent l="0" t="0" r="0" b="0"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200" cy="108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443200" cy="10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438521" h="9144">
                                <a:moveTo>
                                  <a:pt x="0" y="0"/>
                                </a:moveTo>
                                <a:lnTo>
                                  <a:pt x="5438521" y="0"/>
                                </a:lnTo>
                                <a:lnTo>
                                  <a:pt x="543852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6.75pt;width:428.6pt;height:0.85pt" coordorigin="0,135" coordsize="8572,17"/>
            </w:pict>
          </mc:Fallback>
        </mc:AlternateContent>
      </w:r>
    </w:p>
    <w:p>
      <w:pPr>
        <w:pStyle w:val="Normal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>ANEXO II</w:t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ind w:right="-28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 </w:t>
      </w:r>
      <w:r>
        <w:rPr>
          <w:rFonts w:cs="Arial" w:ascii="Arial" w:hAnsi="Arial"/>
          <w:b w:val="false"/>
          <w:bCs w:val="false"/>
          <w:sz w:val="20"/>
          <w:szCs w:val="20"/>
        </w:rPr>
        <w:t>UNIVERSIDADE FEDERAL DA PARAÍBA</w:t>
      </w:r>
      <w:r>
        <w:rPr>
          <w:rFonts w:cs="Arial" w:ascii="Arial" w:hAnsi="Arial"/>
          <w:sz w:val="20"/>
          <w:szCs w:val="20"/>
        </w:rPr>
        <w:t xml:space="preserve">, com sede no Edifício da Reitoria, Campus I, bairro do Castelo Branco, em João Pessoa/PB, CEP 58051-900, inscrito no CNPJ n.º 24.098.477/0001-10, neste ato representada pela Sua Magnificência a Senhora MARGARETH DE FÁTIMA FORMIGA MELO DINIZ, portadora da cédula de identidade N° 394.612 SSP/PB, CPF 323.157.164-20, Reitora da Universidade Federal da Paraíba, de acordo com nomeação no Decreto de 7 de Novembro de 2012 da Presidenta da República Dilma Rousseff, publicada no Diário Oficial da União Ano LIII N°216, quinta-feira, 8 de novembro de 2012, de competência contida no uso da atribuição que lhe confere o art. 84, caput, inciso XXV, da Constituição, considerando o julgamento da licitação na modalidade de pregão, na forma </w:t>
      </w:r>
      <w:r>
        <w:rPr>
          <w:rFonts w:cs="Arial" w:ascii="Arial" w:hAnsi="Arial"/>
          <w:iCs/>
          <w:sz w:val="20"/>
          <w:szCs w:val="20"/>
        </w:rPr>
        <w:t>eletrônica</w:t>
      </w:r>
      <w:r>
        <w:rPr>
          <w:rFonts w:cs="Arial" w:ascii="Arial" w:hAnsi="Arial"/>
          <w:sz w:val="20"/>
          <w:szCs w:val="20"/>
        </w:rPr>
        <w:t xml:space="preserve">, para REGISTRO DE PREÇOS nº .020/2016, publicada no Diário  Oficial da União ...... de ...../...../200....., processo administrativo n.º 23074.050119/2016-31,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cs="Arial" w:ascii="Arial" w:hAnsi="Arial"/>
          <w:iCs/>
          <w:sz w:val="20"/>
          <w:szCs w:val="20"/>
        </w:rPr>
        <w:t>Decreto n.º 7.892, de 23 de janeiro de 2013,</w:t>
      </w:r>
      <w:r>
        <w:rPr>
          <w:rFonts w:cs="Arial" w:ascii="Arial" w:hAnsi="Arial"/>
          <w:sz w:val="20"/>
          <w:szCs w:val="20"/>
        </w:rPr>
        <w:t xml:space="preserve"> e em conformidade com as disposições a seguir:</w:t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ind w:right="-2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 w:before="120" w:after="120"/>
        <w:ind w:left="0" w:hanging="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DO OBJETO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A presente Ata tem por objeto o registro de preços para a eventual aquisição de extintores e placas sinalizadoras especificadas nos itens .......... do .......... Termo de Referência, anexo ...... do edital de </w:t>
      </w:r>
      <w:r>
        <w:rPr>
          <w:rFonts w:cs="Arial" w:ascii="Arial" w:hAnsi="Arial"/>
          <w:i/>
          <w:sz w:val="20"/>
          <w:szCs w:val="20"/>
        </w:rPr>
        <w:t>Pregão</w:t>
      </w:r>
      <w:r>
        <w:rPr>
          <w:rFonts w:cs="Arial" w:ascii="Arial" w:hAnsi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>
      <w:pPr>
        <w:pStyle w:val="Normal"/>
        <w:widowControl w:val="false"/>
        <w:ind w:left="792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 w:before="120" w:after="120"/>
        <w:ind w:left="0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DOS PREÇOS, ESPECIFICAÇÕES E QUANTITATIVOS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jc w:val="lef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-2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95"/>
        <w:gridCol w:w="1185"/>
        <w:gridCol w:w="1402"/>
        <w:gridCol w:w="1541"/>
        <w:gridCol w:w="1121"/>
        <w:gridCol w:w="1121"/>
        <w:gridCol w:w="841"/>
        <w:gridCol w:w="844"/>
      </w:tblGrid>
      <w:tr>
        <w:trPr>
          <w:trHeight w:val="511" w:hRule="atLeast"/>
        </w:trPr>
        <w:tc>
          <w:tcPr>
            <w:tcW w:w="4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Item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do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TR</w:t>
            </w:r>
          </w:p>
        </w:tc>
        <w:tc>
          <w:tcPr>
            <w:tcW w:w="8055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color w:val="FF0000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Fornecedor </w:t>
            </w:r>
            <w:r>
              <w:rPr>
                <w:rFonts w:cs="Arial" w:ascii="Arial" w:hAnsi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674" w:hRule="atLeast"/>
        </w:trPr>
        <w:tc>
          <w:tcPr>
            <w:tcW w:w="4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1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  <w:t xml:space="preserve">Marca 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  <w:t>Modelo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Valor Un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>
        <w:trPr>
          <w:trHeight w:val="174" w:hRule="atLeast"/>
        </w:trPr>
        <w:tc>
          <w:tcPr>
            <w:tcW w:w="4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right="-3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0"/>
        <w:jc w:val="both"/>
        <w:rPr/>
      </w:pPr>
      <w:r>
        <w:rPr>
          <w:rFonts w:cs="Arial" w:ascii="Arial" w:hAnsi="Arial"/>
          <w:b/>
          <w:bCs/>
          <w:i/>
          <w:iCs/>
          <w:color w:val="FF0000"/>
          <w:sz w:val="20"/>
          <w:szCs w:val="20"/>
        </w:rPr>
        <w:t>ÓRGÃO(S) PARTICIPANTE(S)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i/>
          <w:i/>
          <w:iCs/>
          <w:color w:val="FF0000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</w:rPr>
        <w:t>São órgãos e entidades públicas participantes do registro de preços:</w:t>
      </w:r>
    </w:p>
    <w:tbl>
      <w:tblPr>
        <w:tblW w:w="8978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44"/>
        <w:gridCol w:w="2245"/>
        <w:gridCol w:w="2248"/>
        <w:gridCol w:w="2240"/>
      </w:tblGrid>
      <w:tr>
        <w:trPr/>
        <w:tc>
          <w:tcPr>
            <w:tcW w:w="2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/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  <w:t>Órgão</w:t>
            </w:r>
            <w:bookmarkStart w:id="0" w:name="_GoBack"/>
            <w:bookmarkEnd w:id="0"/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  <w:t>s Participantes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>
        <w:trPr/>
        <w:tc>
          <w:tcPr>
            <w:tcW w:w="2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2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2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ascii="Arial" w:hAnsi="Arial" w:cs="Arial"/>
                <w:i/>
                <w:i/>
                <w:iCs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numPr>
          <w:ilvl w:val="0"/>
          <w:numId w:val="1"/>
        </w:numPr>
        <w:spacing w:before="240" w:after="0"/>
        <w:ind w:left="360" w:right="-30" w:hanging="360"/>
        <w:jc w:val="both"/>
        <w:rPr/>
      </w:pPr>
      <w:r>
        <w:rPr>
          <w:rFonts w:cs="Arial" w:ascii="Arial" w:hAnsi="Arial"/>
          <w:b/>
          <w:bCs/>
          <w:sz w:val="20"/>
          <w:szCs w:val="20"/>
        </w:rPr>
        <w:t>VALIDADE DA ATA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A validade da Ata de Registro de Preços será de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i/>
          <w:color w:val="000000"/>
          <w:sz w:val="20"/>
          <w:szCs w:val="20"/>
        </w:rPr>
        <w:t>12 meses</w:t>
      </w:r>
      <w:r>
        <w:rPr>
          <w:rFonts w:cs="Arial" w:ascii="Arial" w:hAnsi="Arial"/>
          <w:sz w:val="20"/>
          <w:szCs w:val="20"/>
        </w:rPr>
        <w:t>, a partir da celebração da mesma, não podendo ser prorrogada.</w:t>
      </w:r>
    </w:p>
    <w:p>
      <w:pPr>
        <w:pStyle w:val="Normal"/>
        <w:widowControl w:val="false"/>
        <w:numPr>
          <w:ilvl w:val="0"/>
          <w:numId w:val="1"/>
        </w:numPr>
        <w:spacing w:before="240" w:after="0"/>
        <w:ind w:left="360" w:right="-30" w:hanging="360"/>
        <w:jc w:val="both"/>
        <w:rPr/>
      </w:pPr>
      <w:r>
        <w:rPr>
          <w:rFonts w:cs="Arial" w:ascii="Arial" w:hAnsi="Arial"/>
          <w:b/>
          <w:bCs/>
          <w:sz w:val="20"/>
          <w:szCs w:val="20"/>
        </w:rPr>
        <w:t>REVISÃO E CANCELAMENTO</w:t>
      </w:r>
      <w:r>
        <w:rPr>
          <w:rFonts w:cs="Arial" w:ascii="Arial" w:hAnsi="Arial"/>
          <w:iCs/>
          <w:sz w:val="20"/>
          <w:szCs w:val="20"/>
        </w:rPr>
        <w:t xml:space="preserve"> </w:t>
      </w:r>
    </w:p>
    <w:p>
      <w:pPr>
        <w:pStyle w:val="ListParagraph"/>
        <w:numPr>
          <w:ilvl w:val="1"/>
          <w:numId w:val="1"/>
        </w:numPr>
        <w:spacing w:lineRule="auto" w:line="276" w:before="120" w:after="120"/>
        <w:ind w:left="425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 fornecedor que não aceitar reduzir seu preço ao valor praticado pelo mercado será liberado do compromisso assumido, sem aplicação de penalidade.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 w:ascii="Arial" w:hAnsi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convocar os demais fornecedores para assegurar igual oportunidade de negociação.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 registro do fornecedor será cancelado quando: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descumprir as condições da ata de registro de preços;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não retirar a nota de empenho ou instrumento equivalente no prazo estabelecido pela Administração, sem justificativa aceitável;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não aceitar reduzir o seu preço registrado, na hipótese deste se tornar superior àqueles praticados no mercado; ou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sofrer sanção administrativa cujo efeito torne-o proibido de celebrar contrato administrativo, alcançando o órgão gerenciador e órgão(s) participante(s).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por razão de interesse público; ou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pedido do fornecedor. </w:t>
      </w:r>
    </w:p>
    <w:p>
      <w:pPr>
        <w:pStyle w:val="Normal"/>
        <w:widowControl w:val="false"/>
        <w:numPr>
          <w:ilvl w:val="0"/>
          <w:numId w:val="1"/>
        </w:numPr>
        <w:jc w:val="both"/>
        <w:rPr/>
      </w:pPr>
      <w:r>
        <w:rPr>
          <w:rFonts w:cs="Arial" w:ascii="Arial" w:hAnsi="Arial"/>
          <w:b/>
          <w:bCs/>
          <w:iCs/>
          <w:sz w:val="20"/>
          <w:szCs w:val="20"/>
        </w:rPr>
        <w:t>CONDIÇÕES GERAIS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</w:rPr>
      </w:pPr>
      <w:r>
        <w:rPr>
          <w:rFonts w:cs="Arial" w:ascii="Arial" w:hAnsi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>
        <w:rPr>
          <w:rFonts w:cs="Arial" w:ascii="Arial" w:hAnsi="Arial"/>
          <w:sz w:val="20"/>
          <w:szCs w:val="20"/>
        </w:rPr>
        <w:t>. 65 da Lei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z w:val="20"/>
          <w:szCs w:val="20"/>
        </w:rPr>
        <w:t>nº 8.666/93.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cs="Arial"/>
          <w:i/>
          <w:i/>
          <w:iCs/>
          <w:color w:val="FF0000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  <w:highlight w:val="yellow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Normal"/>
        <w:widowControl w:val="false"/>
        <w:spacing w:before="240" w:after="0"/>
        <w:ind w:left="567" w:right="-15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right="-15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Para firmeza e validade do pactuado, a presente Ata foi lavrada em </w:t>
      </w:r>
      <w:r>
        <w:rPr>
          <w:rFonts w:cs="Arial" w:ascii="Arial" w:hAnsi="Arial"/>
          <w:color w:val="000000"/>
          <w:sz w:val="20"/>
          <w:szCs w:val="20"/>
        </w:rPr>
        <w:t>03 (três</w:t>
      </w:r>
      <w:r>
        <w:rPr>
          <w:rFonts w:cs="Arial" w:ascii="Arial" w:hAnsi="Arial"/>
          <w:sz w:val="20"/>
          <w:szCs w:val="20"/>
        </w:rPr>
        <w:t xml:space="preserve">) vias de igual teor, que, depois de lida e achada em ordem, vai assinada pelas partes </w:t>
      </w:r>
      <w:r>
        <w:rPr>
          <w:rFonts w:cs="Arial" w:ascii="Arial" w:hAnsi="Arial"/>
          <w:i/>
          <w:iCs/>
          <w:color w:val="FF0000"/>
          <w:sz w:val="20"/>
          <w:szCs w:val="20"/>
          <w:highlight w:val="yellow"/>
        </w:rPr>
        <w:t>e encaminhada cópia aos demais órgãos participantes (se houver).</w:t>
      </w:r>
      <w:r>
        <w:rPr>
          <w:rFonts w:cs="Arial" w:ascii="Arial" w:hAnsi="Arial"/>
          <w:i/>
          <w:iCs/>
          <w:color w:val="FF0000"/>
          <w:sz w:val="20"/>
          <w:szCs w:val="20"/>
        </w:rPr>
        <w:t xml:space="preserve"> </w:t>
      </w:r>
    </w:p>
    <w:p>
      <w:pPr>
        <w:pStyle w:val="Normal"/>
        <w:widowControl w:val="false"/>
        <w:ind w:right="-15" w:hanging="0"/>
        <w:jc w:val="both"/>
        <w:rPr>
          <w:rFonts w:ascii="Arial" w:hAnsi="Arial" w:cs="Arial"/>
          <w:i/>
          <w:i/>
          <w:iCs/>
          <w:color w:val="FF0000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</w:rPr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Local e data</w:t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Assinaturas</w:t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Representante legal do órgão gerenciador e representante(s) legal(is) do(s) </w:t>
      </w:r>
      <w:r>
        <w:rPr>
          <w:rFonts w:cs="Arial" w:ascii="Arial" w:hAnsi="Arial"/>
          <w:color w:val="000000"/>
          <w:sz w:val="20"/>
          <w:szCs w:val="20"/>
        </w:rPr>
        <w:t>fornecedor(s) registrado(s)</w:t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701" w:right="1134" w:header="0" w:top="1418" w:footer="708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____________________________________________________________________</w:t>
    </w:r>
  </w:p>
  <w:p>
    <w:pPr>
      <w:pStyle w:val="Rodap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  <w:t>Comissão Permanente de Atualização de Editais da Consultoria-Geral da União</w:t>
    </w:r>
  </w:p>
  <w:p>
    <w:pPr>
      <w:pStyle w:val="Rodap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  <w:t>Ata de Registro de Preços – modelo – pregão compras</w:t>
    </w:r>
  </w:p>
  <w:p>
    <w:pPr>
      <w:pStyle w:val="Rodap"/>
      <w:rPr>
        <w:rFonts w:ascii="Arial" w:hAnsi="Arial" w:cs="Arial"/>
      </w:rPr>
    </w:pPr>
    <w:r>
      <w:rPr>
        <w:rFonts w:cs="Arial" w:ascii="Arial" w:hAnsi="Arial"/>
        <w:sz w:val="12"/>
        <w:szCs w:val="12"/>
      </w:rPr>
      <w:t>Atualização: Janeiro/2016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  <w:rFonts w:ascii="Arial" w:hAnsi="Arial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b46fc"/>
    <w:pPr>
      <w:widowControl/>
      <w:bidi w:val="0"/>
      <w:jc w:val="left"/>
    </w:pPr>
    <w:rPr>
      <w:rFonts w:ascii="Ecofont_Spranq_eco_Sans" w:hAnsi="Ecofont_Spranq_eco_Sans" w:eastAsia="Times New Roman" w:cs="Tahoma"/>
      <w:color w:val="00000A"/>
      <w:sz w:val="24"/>
      <w:szCs w:val="24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GradeColoridanfase1Char" w:customStyle="1">
    <w:name w:val="Grade Colorida - Ênfase 1 Char"/>
    <w:link w:val="GradeColorida-nfase11"/>
    <w:qFormat/>
    <w:rsid w:val="00cb46fc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styleId="BodyTextChar" w:customStyle="1">
    <w:name w:val="Body Text Char"/>
    <w:link w:val="BodyText"/>
    <w:uiPriority w:val="99"/>
    <w:qFormat/>
    <w:rsid w:val="002f4c05"/>
    <w:rPr>
      <w:sz w:val="24"/>
      <w:szCs w:val="24"/>
    </w:rPr>
  </w:style>
  <w:style w:type="character" w:styleId="LinkdaInternet">
    <w:name w:val="Link da Internet"/>
    <w:uiPriority w:val="99"/>
    <w:unhideWhenUsed/>
    <w:rsid w:val="00520e7a"/>
    <w:rPr>
      <w:color w:val="0000FF"/>
      <w:u w:val="single"/>
    </w:rPr>
  </w:style>
  <w:style w:type="character" w:styleId="HeaderChar" w:customStyle="1">
    <w:name w:val="Header Char"/>
    <w:basedOn w:val="DefaultParagraphFont"/>
    <w:link w:val="Header"/>
    <w:qFormat/>
    <w:rsid w:val="00bb5309"/>
    <w:rPr>
      <w:rFonts w:ascii="Ecofont_Spranq_eco_Sans" w:hAnsi="Ecofont_Spranq_eco_Sans" w:cs="Tahoma"/>
      <w:sz w:val="24"/>
      <w:szCs w:val="24"/>
    </w:rPr>
  </w:style>
  <w:style w:type="character" w:styleId="FooterChar" w:customStyle="1">
    <w:name w:val="Footer Char"/>
    <w:basedOn w:val="DefaultParagraphFont"/>
    <w:link w:val="Footer"/>
    <w:qFormat/>
    <w:rsid w:val="00bb5309"/>
    <w:rPr>
      <w:rFonts w:ascii="Ecofont_Spranq_eco_Sans" w:hAnsi="Ecofont_Spranq_eco_Sans" w:cs="Tahoma"/>
      <w:sz w:val="24"/>
      <w:szCs w:val="24"/>
    </w:rPr>
  </w:style>
  <w:style w:type="character" w:styleId="Citao2Char" w:customStyle="1">
    <w:name w:val="citação 2 Char"/>
    <w:link w:val="citao2"/>
    <w:qFormat/>
    <w:rsid w:val="002038c8"/>
    <w:rPr>
      <w:rFonts w:ascii="Ecofont_Spranq_eco_Sans" w:hAnsi="Ecofont_Spranq_eco_Sans" w:eastAsia="Calibri" w:cs="Tahoma"/>
      <w:i/>
      <w:iCs/>
      <w:color w:val="000000"/>
      <w:sz w:val="24"/>
      <w:szCs w:val="24"/>
      <w:shd w:fill="FFFFCC" w:val="clear"/>
      <w:lang w:eastAsia="en-US"/>
    </w:rPr>
  </w:style>
  <w:style w:type="character" w:styleId="QuoteChar" w:customStyle="1">
    <w:name w:val="Quote Char"/>
    <w:basedOn w:val="DefaultParagraphFont"/>
    <w:link w:val="Quote"/>
    <w:uiPriority w:val="29"/>
    <w:qFormat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character" w:styleId="ListLabel1">
    <w:name w:val="ListLabel 1"/>
    <w:qFormat/>
    <w:rPr>
      <w:rFonts w:ascii="Arial" w:hAnsi="Arial"/>
      <w:b/>
      <w:sz w:val="20"/>
    </w:rPr>
  </w:style>
  <w:style w:type="character" w:styleId="ListLabel2">
    <w:name w:val="ListLabel 2"/>
    <w:qFormat/>
    <w:rPr>
      <w:rFonts w:ascii="Arial" w:hAnsi="Arial"/>
      <w:sz w:val="20"/>
      <w:szCs w:val="20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Arial" w:hAnsi="Arial"/>
      <w:b/>
      <w:sz w:val="20"/>
    </w:rPr>
  </w:style>
  <w:style w:type="character" w:styleId="ListLabel5">
    <w:name w:val="ListLabel 5"/>
    <w:qFormat/>
    <w:rPr>
      <w:rFonts w:ascii="Arial" w:hAnsi="Arial"/>
      <w:sz w:val="20"/>
      <w:szCs w:val="20"/>
    </w:rPr>
  </w:style>
  <w:style w:type="character" w:styleId="ListLabel6">
    <w:name w:val="ListLabel 6"/>
    <w:qFormat/>
    <w:rPr>
      <w:rFonts w:ascii="Arial" w:hAnsi="Arial"/>
      <w:b/>
      <w:sz w:val="20"/>
    </w:rPr>
  </w:style>
  <w:style w:type="character" w:styleId="ListLabel7">
    <w:name w:val="ListLabel 7"/>
    <w:qFormat/>
    <w:rPr>
      <w:rFonts w:ascii="Arial" w:hAnsi="Arial"/>
      <w:sz w:val="20"/>
      <w:szCs w:val="20"/>
    </w:rPr>
  </w:style>
  <w:style w:type="character" w:styleId="ListLabel8">
    <w:name w:val="ListLabel 8"/>
    <w:qFormat/>
    <w:rPr>
      <w:rFonts w:ascii="Arial" w:hAnsi="Arial"/>
      <w:b/>
      <w:sz w:val="20"/>
    </w:rPr>
  </w:style>
  <w:style w:type="character" w:styleId="ListLabel9">
    <w:name w:val="ListLabel 9"/>
    <w:qFormat/>
    <w:rPr>
      <w:rFonts w:ascii="Arial" w:hAnsi="Arial"/>
      <w:sz w:val="20"/>
      <w:szCs w:val="20"/>
    </w:rPr>
  </w:style>
  <w:style w:type="character" w:styleId="ListLabel10">
    <w:name w:val="ListLabel 10"/>
    <w:qFormat/>
    <w:rPr>
      <w:rFonts w:ascii="Arial" w:hAnsi="Arial"/>
      <w:b/>
      <w:sz w:val="20"/>
    </w:rPr>
  </w:style>
  <w:style w:type="character" w:styleId="ListLabel11">
    <w:name w:val="ListLabel 11"/>
    <w:qFormat/>
    <w:rPr>
      <w:rFonts w:ascii="Arial" w:hAnsi="Arial"/>
      <w:sz w:val="20"/>
      <w:szCs w:val="20"/>
    </w:rPr>
  </w:style>
  <w:style w:type="character" w:styleId="ListLabel12">
    <w:name w:val="ListLabel 12"/>
    <w:qFormat/>
    <w:rPr>
      <w:rFonts w:ascii="Arial" w:hAnsi="Arial"/>
      <w:b/>
      <w:sz w:val="20"/>
    </w:rPr>
  </w:style>
  <w:style w:type="character" w:styleId="ListLabel13">
    <w:name w:val="ListLabel 13"/>
    <w:qFormat/>
    <w:rPr>
      <w:rFonts w:ascii="Arial" w:hAnsi="Arial"/>
      <w:sz w:val="20"/>
      <w:szCs w:val="20"/>
    </w:rPr>
  </w:style>
  <w:style w:type="character" w:styleId="ListLabel14">
    <w:name w:val="ListLabel 14"/>
    <w:qFormat/>
    <w:rPr>
      <w:rFonts w:ascii="Arial" w:hAnsi="Arial"/>
      <w:b/>
      <w:sz w:val="20"/>
    </w:rPr>
  </w:style>
  <w:style w:type="character" w:styleId="ListLabel15">
    <w:name w:val="ListLabel 15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BodyTextChar"/>
    <w:uiPriority w:val="99"/>
    <w:unhideWhenUsed/>
    <w:rsid w:val="002f4c05"/>
    <w:pPr>
      <w:spacing w:beforeAutospacing="1" w:afterAutospacing="1"/>
    </w:pPr>
    <w:rPr>
      <w:rFonts w:ascii="Times New Roman" w:hAnsi="Times New Roman" w:cs="Times New Roman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GradeColoridanfase11" w:customStyle="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3f48df"/>
    <w:pPr>
      <w:spacing w:before="0" w:after="0"/>
      <w:ind w:left="720" w:hanging="0"/>
      <w:contextualSpacing/>
    </w:pPr>
    <w:rPr/>
  </w:style>
  <w:style w:type="paragraph" w:styleId="Cabealho">
    <w:name w:val="Header"/>
    <w:basedOn w:val="Normal"/>
    <w:link w:val="HeaderChar"/>
    <w:unhideWhenUsed/>
    <w:rsid w:val="00bb5309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FooterChar"/>
    <w:unhideWhenUsed/>
    <w:rsid w:val="00bb5309"/>
    <w:pPr>
      <w:tabs>
        <w:tab w:val="center" w:pos="4252" w:leader="none"/>
        <w:tab w:val="right" w:pos="8504" w:leader="none"/>
      </w:tabs>
    </w:pPr>
    <w:rPr/>
  </w:style>
  <w:style w:type="paragraph" w:styleId="Citao2" w:customStyle="1">
    <w:name w:val="citação 2"/>
    <w:link w:val="citao2Char"/>
    <w:qFormat/>
    <w:rsid w:val="002038c8"/>
    <w:pPr>
      <w:widowControl w:val="false"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bidi w:val="0"/>
      <w:spacing w:before="120" w:after="0"/>
      <w:jc w:val="both"/>
    </w:pPr>
    <w:rPr>
      <w:rFonts w:ascii="Times New Roman" w:hAnsi="Times New Roman" w:eastAsia="Calibri" w:cs="Times New Roman"/>
      <w:color w:val="000000"/>
      <w:sz w:val="24"/>
      <w:szCs w:val="20"/>
      <w:lang w:val="pt-BR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2038c8"/>
    <w:pPr/>
    <w:rPr>
      <w:i/>
      <w:iCs/>
      <w:color w:val="000000" w:themeColor="text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Application>LibreOffice/5.1.4.2$Windows_x86 LibreOffice_project/f99d75f39f1c57ebdd7ffc5f42867c12031db97a</Application>
  <Pages>3</Pages>
  <Words>963</Words>
  <Characters>5541</Characters>
  <CharactersWithSpaces>6426</CharactersWithSpaces>
  <Paragraphs>67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2013-03-28T21:50:00Z</dcterms:created>
  <dc:creator/>
  <dc:description>Texto idêntico ao modelo de serviços, salvo pela especificação do objeto contratado e da respectiva nota explicativa.</dc:description>
  <dc:language>pt-BR</dc:language>
  <cp:lastModifiedBy/>
  <cp:lastPrinted>2016-08-30T09:02:07Z</cp:lastPrinted>
  <dcterms:modified xsi:type="dcterms:W3CDTF">2016-08-30T09:02:44Z</dcterms:modified>
  <cp:revision>26</cp:revision>
  <dc:subject/>
  <dc:title>MODELO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