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A73" w:rsidRPr="00313ECB" w:rsidRDefault="00313ECB">
      <w:pPr>
        <w:spacing w:after="22" w:line="259" w:lineRule="auto"/>
        <w:jc w:val="center"/>
        <w:rPr>
          <w:rFonts w:asciiTheme="minorHAnsi" w:hAnsiTheme="minorHAnsi"/>
        </w:rPr>
      </w:pPr>
      <w:r w:rsidRPr="00313ECB">
        <w:rPr>
          <w:rFonts w:asciiTheme="minorHAnsi" w:hAnsiTheme="minorHAnsi"/>
          <w:noProof/>
        </w:rPr>
        <w:drawing>
          <wp:inline distT="0" distB="0" distL="0" distR="0">
            <wp:extent cx="457200" cy="53975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a:blip r:embed="rId7" cstate="print"/>
                    <a:stretch>
                      <a:fillRect/>
                    </a:stretch>
                  </pic:blipFill>
                  <pic:spPr bwMode="auto">
                    <a:xfrm>
                      <a:off x="0" y="0"/>
                      <a:ext cx="457200" cy="539750"/>
                    </a:xfrm>
                    <a:prstGeom prst="rect">
                      <a:avLst/>
                    </a:prstGeom>
                  </pic:spPr>
                </pic:pic>
              </a:graphicData>
            </a:graphic>
          </wp:inline>
        </w:drawing>
      </w:r>
    </w:p>
    <w:p w:rsidR="00525A73" w:rsidRPr="00313ECB" w:rsidRDefault="00313ECB">
      <w:pPr>
        <w:spacing w:line="259" w:lineRule="auto"/>
        <w:ind w:right="204"/>
        <w:jc w:val="center"/>
        <w:rPr>
          <w:rFonts w:asciiTheme="minorHAnsi" w:eastAsia="Arial" w:hAnsiTheme="minorHAnsi" w:cs="Arial"/>
          <w:b/>
        </w:rPr>
      </w:pPr>
      <w:r w:rsidRPr="00313ECB">
        <w:rPr>
          <w:rFonts w:asciiTheme="minorHAnsi" w:eastAsia="Arial" w:hAnsiTheme="minorHAnsi" w:cs="Arial"/>
          <w:b/>
        </w:rPr>
        <w:t xml:space="preserve">UNIVERSIDADE FEDERAL DA PARAÍBA </w:t>
      </w:r>
    </w:p>
    <w:p w:rsidR="00525A73" w:rsidRPr="00313ECB" w:rsidRDefault="00313ECB">
      <w:pPr>
        <w:spacing w:line="259" w:lineRule="auto"/>
        <w:ind w:right="5"/>
        <w:jc w:val="center"/>
        <w:rPr>
          <w:rFonts w:asciiTheme="minorHAnsi" w:eastAsia="Century Gothic" w:hAnsiTheme="minorHAnsi" w:cs="Century Gothic"/>
        </w:rPr>
      </w:pPr>
      <w:r w:rsidRPr="00313ECB">
        <w:rPr>
          <w:rFonts w:asciiTheme="minorHAnsi" w:eastAsia="Century Gothic" w:hAnsiTheme="minorHAnsi" w:cs="Century Gothic"/>
        </w:rPr>
        <w:t xml:space="preserve">PREFEITURA UNIVERSITÁRIA </w:t>
      </w:r>
    </w:p>
    <w:p w:rsidR="00525A73" w:rsidRPr="00313ECB" w:rsidRDefault="00313ECB">
      <w:pPr>
        <w:spacing w:line="259" w:lineRule="auto"/>
        <w:rPr>
          <w:rFonts w:asciiTheme="minorHAnsi" w:hAnsiTheme="minorHAnsi" w:cs="Times New Roman"/>
        </w:rPr>
      </w:pPr>
      <w:r w:rsidRPr="00313ECB">
        <w:rPr>
          <w:rFonts w:asciiTheme="minorHAnsi" w:hAnsiTheme="minorHAnsi" w:cs="Times New Roman"/>
        </w:rPr>
        <w:t xml:space="preserve"> </w:t>
      </w:r>
    </w:p>
    <w:p w:rsidR="00525A73" w:rsidRPr="00313ECB" w:rsidRDefault="00525A73">
      <w:pPr>
        <w:spacing w:after="15" w:line="259" w:lineRule="auto"/>
        <w:ind w:left="-29" w:right="-28"/>
        <w:rPr>
          <w:rFonts w:asciiTheme="minorHAnsi" w:hAnsiTheme="minorHAnsi"/>
        </w:rPr>
      </w:pPr>
    </w:p>
    <w:p w:rsidR="00525A73" w:rsidRPr="00313ECB" w:rsidRDefault="00313ECB">
      <w:pPr>
        <w:ind w:left="17"/>
        <w:jc w:val="center"/>
        <w:rPr>
          <w:rFonts w:asciiTheme="minorHAnsi" w:hAnsiTheme="minorHAnsi"/>
        </w:rPr>
      </w:pPr>
      <w:r w:rsidRPr="00313ECB">
        <w:rPr>
          <w:rFonts w:asciiTheme="minorHAnsi" w:hAnsiTheme="minorHAnsi"/>
          <w:b/>
          <w:sz w:val="8"/>
        </w:rPr>
        <w:t xml:space="preserve"> </w:t>
      </w:r>
      <w:r w:rsidRPr="00313ECB">
        <w:rPr>
          <w:rFonts w:asciiTheme="minorHAnsi" w:hAnsiTheme="minorHAnsi"/>
          <w:b/>
        </w:rPr>
        <w:t>PREGÃO ELETRÔNICO</w:t>
      </w:r>
    </w:p>
    <w:p w:rsidR="00525A73" w:rsidRPr="00313ECB" w:rsidRDefault="00313ECB">
      <w:pPr>
        <w:ind w:left="17"/>
        <w:jc w:val="center"/>
        <w:rPr>
          <w:rFonts w:asciiTheme="minorHAnsi" w:hAnsiTheme="minorHAnsi"/>
          <w:b/>
        </w:rPr>
      </w:pPr>
      <w:r w:rsidRPr="00313ECB">
        <w:rPr>
          <w:rFonts w:asciiTheme="minorHAnsi" w:hAnsiTheme="minorHAnsi"/>
          <w:b/>
        </w:rPr>
        <w:t>SISTEMA DE REGISTRO DE PREÇOS Nº 020/2016</w:t>
      </w:r>
    </w:p>
    <w:p w:rsidR="00525A73" w:rsidRPr="00313ECB" w:rsidRDefault="00313ECB">
      <w:pPr>
        <w:ind w:left="17"/>
        <w:jc w:val="center"/>
        <w:rPr>
          <w:rFonts w:asciiTheme="minorHAnsi" w:hAnsiTheme="minorHAnsi"/>
          <w:b/>
        </w:rPr>
      </w:pPr>
      <w:r w:rsidRPr="00313ECB">
        <w:rPr>
          <w:rFonts w:asciiTheme="minorHAnsi" w:hAnsiTheme="minorHAnsi"/>
          <w:b/>
        </w:rPr>
        <w:t>(Processo Administrativo n.°23074.050119/2016-31)</w:t>
      </w:r>
    </w:p>
    <w:p w:rsidR="00525A73" w:rsidRPr="00313ECB" w:rsidRDefault="00313ECB">
      <w:pPr>
        <w:ind w:left="10" w:right="1" w:hanging="10"/>
        <w:jc w:val="center"/>
        <w:rPr>
          <w:rFonts w:asciiTheme="minorHAnsi" w:hAnsiTheme="minorHAnsi"/>
          <w:b/>
        </w:rPr>
      </w:pPr>
      <w:r w:rsidRPr="00313ECB">
        <w:rPr>
          <w:rFonts w:asciiTheme="minorHAnsi" w:hAnsiTheme="minorHAnsi"/>
          <w:b/>
        </w:rPr>
        <w:t>EDITAL DE LICITAÇÃO (MINUTA)</w:t>
      </w:r>
    </w:p>
    <w:p w:rsidR="00525A73" w:rsidRPr="00313ECB" w:rsidRDefault="00525A73">
      <w:pPr>
        <w:spacing w:after="62" w:line="259" w:lineRule="auto"/>
        <w:ind w:left="-29" w:right="-28"/>
        <w:rPr>
          <w:rFonts w:asciiTheme="minorHAnsi" w:hAnsiTheme="minorHAnsi"/>
        </w:rPr>
      </w:pPr>
    </w:p>
    <w:p w:rsidR="00525A73" w:rsidRPr="00313ECB" w:rsidRDefault="00525A73">
      <w:pPr>
        <w:ind w:right="-17"/>
        <w:jc w:val="center"/>
        <w:rPr>
          <w:rFonts w:asciiTheme="minorHAnsi" w:hAnsiTheme="minorHAnsi" w:cs="Arial"/>
          <w:b/>
          <w:color w:val="000000"/>
          <w:sz w:val="20"/>
          <w:szCs w:val="20"/>
        </w:rPr>
      </w:pPr>
    </w:p>
    <w:p w:rsidR="00525A73" w:rsidRPr="00313ECB" w:rsidRDefault="00313ECB">
      <w:pPr>
        <w:snapToGrid w:val="0"/>
        <w:spacing w:after="120" w:line="276" w:lineRule="auto"/>
        <w:ind w:right="-30" w:firstLine="540"/>
        <w:jc w:val="both"/>
        <w:rPr>
          <w:rFonts w:asciiTheme="minorHAnsi" w:hAnsiTheme="minorHAnsi"/>
        </w:rPr>
      </w:pPr>
      <w:r w:rsidRPr="00313ECB">
        <w:rPr>
          <w:rFonts w:asciiTheme="minorHAnsi" w:hAnsiTheme="minorHAnsi" w:cs="Arial"/>
          <w:color w:val="000000"/>
          <w:sz w:val="20"/>
          <w:szCs w:val="20"/>
        </w:rPr>
        <w:t xml:space="preserve">Torna-se público, para conhecimento dos interessados, que a UNIVERSIDADE FEDERAL DA PARAÍBA, através de sua Prefeitura Universitária, por intermédio do Pregoeiro designado pela PORTARIA/UFPB/PU nº 021/2016, de 10 de abril de 2016, por meio da Comissão Permanente de Licitação da Prefeitura Universitária (CPL-PU) sediado no Campus I, bairro do Castelo Branco, em João Pessoa/PB, CEP 58051-900, realizará licitação para REGISTRO DE PREÇOS, na modalidade </w:t>
      </w:r>
      <w:r w:rsidRPr="00313ECB">
        <w:rPr>
          <w:rFonts w:asciiTheme="minorHAnsi" w:hAnsiTheme="minorHAnsi" w:cs="Arial"/>
          <w:bCs/>
          <w:color w:val="000000"/>
          <w:sz w:val="20"/>
          <w:szCs w:val="20"/>
        </w:rPr>
        <w:t xml:space="preserve">PREGÃO, </w:t>
      </w:r>
      <w:r w:rsidRPr="00313ECB">
        <w:rPr>
          <w:rFonts w:asciiTheme="minorHAnsi" w:hAnsiTheme="minorHAnsi" w:cs="Arial"/>
          <w:color w:val="000000"/>
          <w:sz w:val="20"/>
          <w:szCs w:val="20"/>
        </w:rPr>
        <w:t>na forma</w:t>
      </w:r>
      <w:r w:rsidRPr="00313ECB">
        <w:rPr>
          <w:rFonts w:asciiTheme="minorHAnsi" w:hAnsiTheme="minorHAnsi" w:cs="Arial"/>
          <w:bCs/>
          <w:color w:val="000000"/>
          <w:sz w:val="20"/>
          <w:szCs w:val="20"/>
        </w:rPr>
        <w:t xml:space="preserve"> ELETRÔNICA, </w:t>
      </w:r>
      <w:r w:rsidRPr="00313ECB">
        <w:rPr>
          <w:rFonts w:asciiTheme="minorHAnsi" w:hAnsiTheme="minorHAnsi" w:cs="Arial"/>
          <w:b/>
          <w:bCs/>
          <w:color w:val="000000"/>
          <w:sz w:val="20"/>
          <w:szCs w:val="20"/>
        </w:rPr>
        <w:t>do</w:t>
      </w:r>
      <w:r w:rsidRPr="00313ECB">
        <w:rPr>
          <w:rFonts w:asciiTheme="minorHAnsi" w:hAnsiTheme="minorHAnsi" w:cs="Arial"/>
          <w:b/>
          <w:color w:val="000000"/>
          <w:sz w:val="20"/>
          <w:szCs w:val="20"/>
        </w:rPr>
        <w:t xml:space="preserve"> </w:t>
      </w:r>
      <w:r w:rsidRPr="00313ECB">
        <w:rPr>
          <w:rFonts w:asciiTheme="minorHAnsi" w:hAnsiTheme="minorHAnsi" w:cs="Arial"/>
          <w:b/>
          <w:bCs/>
          <w:iCs/>
          <w:color w:val="000000"/>
          <w:sz w:val="20"/>
          <w:szCs w:val="20"/>
        </w:rPr>
        <w:t>tipo menor preço</w:t>
      </w:r>
      <w:r w:rsidRPr="00313ECB">
        <w:rPr>
          <w:rFonts w:asciiTheme="minorHAnsi" w:hAnsiTheme="minorHAnsi" w:cs="Arial"/>
          <w:b/>
          <w:bCs/>
          <w:color w:val="000000"/>
          <w:sz w:val="20"/>
          <w:szCs w:val="20"/>
        </w:rPr>
        <w:t>,</w:t>
      </w:r>
      <w:r w:rsidRPr="00313ECB">
        <w:rPr>
          <w:rFonts w:asciiTheme="minorHAnsi" w:hAnsiTheme="minorHAnsi"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Pr="00313ECB">
        <w:rPr>
          <w:rFonts w:asciiTheme="minorHAnsi" w:hAnsiTheme="minorHAnsi" w:cs="Arial"/>
          <w:sz w:val="20"/>
          <w:szCs w:val="20"/>
        </w:rPr>
        <w:t>8.538, de 06 de outubro de 2015</w:t>
      </w:r>
      <w:r w:rsidRPr="00313ECB">
        <w:rPr>
          <w:rFonts w:asciiTheme="minorHAnsi" w:hAnsiTheme="minorHAnsi" w:cs="Arial"/>
          <w:color w:val="000000"/>
          <w:sz w:val="20"/>
          <w:szCs w:val="20"/>
        </w:rPr>
        <w:t>, aplicando-se, subsidiariamente, a Lei nº 8.666, de 21 de junho de 1993, e as exigências estabelecidas neste Edital.</w:t>
      </w:r>
    </w:p>
    <w:p w:rsidR="00525A73" w:rsidRPr="00313ECB" w:rsidRDefault="00313ECB">
      <w:pPr>
        <w:rPr>
          <w:rFonts w:asciiTheme="minorHAnsi" w:hAnsiTheme="minorHAnsi" w:cs="Arial"/>
          <w:color w:val="000000"/>
          <w:sz w:val="20"/>
          <w:szCs w:val="20"/>
        </w:rPr>
      </w:pPr>
      <w:r w:rsidRPr="00313ECB">
        <w:rPr>
          <w:rFonts w:asciiTheme="minorHAnsi" w:hAnsiTheme="minorHAnsi" w:cs="Arial"/>
          <w:color w:val="000000"/>
          <w:sz w:val="20"/>
          <w:szCs w:val="20"/>
        </w:rPr>
        <w:t>Data da sessão:</w:t>
      </w:r>
      <w:r w:rsidR="00651ED8">
        <w:rPr>
          <w:rFonts w:asciiTheme="minorHAnsi" w:hAnsiTheme="minorHAnsi" w:cs="Arial"/>
          <w:color w:val="000000"/>
          <w:sz w:val="20"/>
          <w:szCs w:val="20"/>
        </w:rPr>
        <w:t xml:space="preserve"> </w:t>
      </w:r>
      <w:r w:rsidR="00651ED8" w:rsidRPr="00651ED8">
        <w:rPr>
          <w:rFonts w:asciiTheme="minorHAnsi" w:hAnsiTheme="minorHAnsi" w:cs="Arial"/>
          <w:b/>
          <w:color w:val="000000"/>
          <w:sz w:val="20"/>
          <w:szCs w:val="20"/>
        </w:rPr>
        <w:t>07/10/2016</w:t>
      </w:r>
    </w:p>
    <w:p w:rsidR="00525A73" w:rsidRPr="00313ECB" w:rsidRDefault="00313ECB">
      <w:pPr>
        <w:rPr>
          <w:rFonts w:asciiTheme="minorHAnsi" w:hAnsiTheme="minorHAnsi" w:cs="Arial"/>
          <w:color w:val="000000"/>
          <w:sz w:val="20"/>
          <w:szCs w:val="20"/>
        </w:rPr>
      </w:pPr>
      <w:r w:rsidRPr="00313ECB">
        <w:rPr>
          <w:rFonts w:asciiTheme="minorHAnsi" w:hAnsiTheme="minorHAnsi" w:cs="Arial"/>
          <w:color w:val="000000"/>
          <w:sz w:val="20"/>
          <w:szCs w:val="20"/>
        </w:rPr>
        <w:t xml:space="preserve">Horário: </w:t>
      </w:r>
      <w:r w:rsidR="00651ED8" w:rsidRPr="00651ED8">
        <w:rPr>
          <w:rFonts w:asciiTheme="minorHAnsi" w:hAnsiTheme="minorHAnsi" w:cs="Arial"/>
          <w:b/>
          <w:color w:val="000000"/>
          <w:sz w:val="20"/>
          <w:szCs w:val="20"/>
        </w:rPr>
        <w:t>09h:00min</w:t>
      </w:r>
      <w:bookmarkStart w:id="0" w:name="_GoBack"/>
      <w:bookmarkEnd w:id="0"/>
      <w:r w:rsidR="00651ED8" w:rsidRPr="00651ED8">
        <w:rPr>
          <w:rFonts w:asciiTheme="minorHAnsi" w:hAnsiTheme="minorHAnsi" w:cs="Arial"/>
          <w:b/>
          <w:color w:val="000000"/>
          <w:sz w:val="20"/>
          <w:szCs w:val="20"/>
        </w:rPr>
        <w:t xml:space="preserve"> (Horário de Brasília-DF)</w:t>
      </w:r>
    </w:p>
    <w:p w:rsidR="00525A73" w:rsidRPr="00313ECB" w:rsidRDefault="00313ECB">
      <w:pPr>
        <w:spacing w:line="276" w:lineRule="auto"/>
        <w:rPr>
          <w:rFonts w:asciiTheme="minorHAnsi" w:hAnsiTheme="minorHAnsi" w:cs="Arial"/>
          <w:color w:val="000000"/>
          <w:sz w:val="20"/>
          <w:szCs w:val="20"/>
        </w:rPr>
      </w:pPr>
      <w:r w:rsidRPr="00313ECB">
        <w:rPr>
          <w:rFonts w:asciiTheme="minorHAnsi" w:hAnsiTheme="minorHAnsi" w:cs="Arial"/>
          <w:color w:val="000000"/>
          <w:sz w:val="20"/>
          <w:szCs w:val="20"/>
        </w:rPr>
        <w:t>Local: Portal de Compras do Governo Federal – www.comprasgovernamentais.gov.br</w:t>
      </w:r>
    </w:p>
    <w:p w:rsidR="00525A73" w:rsidRPr="00313ECB" w:rsidRDefault="00525A73">
      <w:pPr>
        <w:snapToGrid w:val="0"/>
        <w:spacing w:after="120" w:line="276" w:lineRule="auto"/>
        <w:ind w:right="-30"/>
        <w:jc w:val="both"/>
        <w:rPr>
          <w:rFonts w:asciiTheme="minorHAnsi" w:hAnsiTheme="minorHAnsi" w:cs="Arial"/>
          <w:color w:val="000000"/>
          <w:sz w:val="20"/>
          <w:szCs w:val="20"/>
        </w:rPr>
      </w:pPr>
    </w:p>
    <w:p w:rsidR="00525A73" w:rsidRPr="00313ECB" w:rsidRDefault="00313ECB">
      <w:pPr>
        <w:numPr>
          <w:ilvl w:val="0"/>
          <w:numId w:val="1"/>
        </w:numPr>
        <w:spacing w:after="120" w:line="276" w:lineRule="auto"/>
        <w:ind w:right="-15"/>
        <w:jc w:val="both"/>
        <w:rPr>
          <w:rFonts w:asciiTheme="minorHAnsi" w:hAnsiTheme="minorHAnsi" w:cs="Arial"/>
          <w:b/>
          <w:color w:val="000000"/>
          <w:sz w:val="20"/>
          <w:szCs w:val="20"/>
        </w:rPr>
      </w:pPr>
      <w:r w:rsidRPr="00313ECB">
        <w:rPr>
          <w:rFonts w:asciiTheme="minorHAnsi" w:hAnsiTheme="minorHAnsi" w:cs="Arial"/>
          <w:b/>
          <w:color w:val="000000"/>
          <w:sz w:val="20"/>
          <w:szCs w:val="20"/>
        </w:rPr>
        <w:t>DO OBJETO</w:t>
      </w:r>
    </w:p>
    <w:p w:rsidR="00525A73" w:rsidRPr="00313ECB" w:rsidRDefault="00313ECB">
      <w:pPr>
        <w:numPr>
          <w:ilvl w:val="1"/>
          <w:numId w:val="1"/>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objeto da presente licitação é o registro de preços de extintores de incêndio e sinalização de emergência, conforme condições, quantidades e exigências estabelecidas neste Edital e seus anexos.</w:t>
      </w:r>
    </w:p>
    <w:p w:rsidR="00525A73" w:rsidRPr="00313ECB" w:rsidRDefault="00313ECB">
      <w:pPr>
        <w:numPr>
          <w:ilvl w:val="1"/>
          <w:numId w:val="1"/>
        </w:numPr>
        <w:spacing w:before="120" w:after="120" w:line="276" w:lineRule="auto"/>
        <w:ind w:left="425" w:firstLine="0"/>
        <w:jc w:val="both"/>
        <w:rPr>
          <w:rFonts w:asciiTheme="minorHAnsi" w:hAnsiTheme="minorHAnsi"/>
          <w:color w:val="000000"/>
        </w:rPr>
      </w:pPr>
      <w:r w:rsidRPr="00313ECB">
        <w:rPr>
          <w:rFonts w:asciiTheme="minorHAnsi" w:hAnsiTheme="minorHAnsi" w:cs="Arial"/>
          <w:color w:val="000000"/>
          <w:sz w:val="20"/>
          <w:szCs w:val="20"/>
        </w:rPr>
        <w:t xml:space="preserve">A licitação será dividida em itens, conforme tabela abaixo, constante do Termo de Referência, facultando-se ao licitante a participação em quantos itens forem de seu interesse. </w:t>
      </w:r>
    </w:p>
    <w:p w:rsidR="00525A73" w:rsidRPr="00313ECB" w:rsidRDefault="00525A73">
      <w:pPr>
        <w:spacing w:before="120" w:after="120" w:line="276" w:lineRule="auto"/>
        <w:ind w:left="425"/>
        <w:jc w:val="both"/>
        <w:rPr>
          <w:rFonts w:asciiTheme="minorHAnsi" w:hAnsiTheme="minorHAnsi" w:cs="Arial"/>
          <w:b/>
          <w:i/>
          <w:color w:val="000000"/>
          <w:sz w:val="20"/>
          <w:szCs w:val="20"/>
        </w:rPr>
      </w:pPr>
    </w:p>
    <w:tbl>
      <w:tblPr>
        <w:tblW w:w="9353" w:type="dxa"/>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40" w:type="dxa"/>
          <w:left w:w="46" w:type="dxa"/>
          <w:right w:w="29" w:type="dxa"/>
        </w:tblCellMar>
        <w:tblLook w:val="04A0" w:firstRow="1" w:lastRow="0" w:firstColumn="1" w:lastColumn="0" w:noHBand="0" w:noVBand="1"/>
      </w:tblPr>
      <w:tblGrid>
        <w:gridCol w:w="400"/>
        <w:gridCol w:w="375"/>
        <w:gridCol w:w="475"/>
        <w:gridCol w:w="3238"/>
        <w:gridCol w:w="1810"/>
        <w:gridCol w:w="616"/>
        <w:gridCol w:w="685"/>
        <w:gridCol w:w="452"/>
        <w:gridCol w:w="739"/>
        <w:gridCol w:w="563"/>
      </w:tblGrid>
      <w:tr w:rsidR="00525A73" w:rsidRPr="00313ECB" w:rsidTr="00313ECB">
        <w:trPr>
          <w:trHeight w:val="310"/>
        </w:trPr>
        <w:tc>
          <w:tcPr>
            <w:tcW w:w="400"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313ECB" w:rsidP="00313ECB">
            <w:pPr>
              <w:spacing w:line="259" w:lineRule="auto"/>
              <w:ind w:left="19"/>
              <w:jc w:val="center"/>
              <w:rPr>
                <w:rFonts w:asciiTheme="minorHAnsi" w:hAnsiTheme="minorHAnsi"/>
                <w:sz w:val="16"/>
                <w:szCs w:val="16"/>
              </w:rPr>
            </w:pPr>
            <w:r w:rsidRPr="00313ECB">
              <w:rPr>
                <w:rFonts w:asciiTheme="minorHAnsi" w:hAnsiTheme="minorHAnsi"/>
                <w:b/>
                <w:sz w:val="16"/>
                <w:szCs w:val="16"/>
                <w:eastAsianLayout w:id="1232763392" w:vert="1"/>
              </w:rPr>
              <w:t>Itens</w:t>
            </w:r>
          </w:p>
        </w:tc>
        <w:tc>
          <w:tcPr>
            <w:tcW w:w="375"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ind w:right="44"/>
              <w:jc w:val="center"/>
              <w:rPr>
                <w:rFonts w:asciiTheme="minorHAnsi" w:hAnsiTheme="minorHAnsi"/>
                <w:b/>
                <w:sz w:val="16"/>
                <w:szCs w:val="16"/>
              </w:rPr>
            </w:pPr>
            <w:r w:rsidRPr="00313ECB">
              <w:rPr>
                <w:rFonts w:asciiTheme="minorHAnsi" w:hAnsiTheme="minorHAnsi"/>
                <w:b/>
                <w:sz w:val="16"/>
                <w:szCs w:val="16"/>
              </w:rPr>
              <w:t>CATMAT</w:t>
            </w:r>
          </w:p>
        </w:tc>
        <w:tc>
          <w:tcPr>
            <w:tcW w:w="475"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ind w:right="44"/>
              <w:jc w:val="center"/>
              <w:rPr>
                <w:rFonts w:asciiTheme="minorHAnsi" w:hAnsiTheme="minorHAnsi"/>
                <w:b/>
                <w:sz w:val="16"/>
                <w:szCs w:val="16"/>
              </w:rPr>
            </w:pPr>
            <w:r w:rsidRPr="00313ECB">
              <w:rPr>
                <w:rFonts w:asciiTheme="minorHAnsi" w:hAnsiTheme="minorHAnsi"/>
                <w:b/>
                <w:sz w:val="16"/>
                <w:szCs w:val="16"/>
              </w:rPr>
              <w:t>Unidades</w:t>
            </w:r>
          </w:p>
        </w:tc>
        <w:tc>
          <w:tcPr>
            <w:tcW w:w="3238"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313ECB" w:rsidP="00313ECB">
            <w:pPr>
              <w:spacing w:line="259" w:lineRule="auto"/>
              <w:ind w:right="44"/>
              <w:jc w:val="center"/>
              <w:rPr>
                <w:rFonts w:asciiTheme="minorHAnsi" w:hAnsiTheme="minorHAnsi"/>
                <w:b/>
                <w:sz w:val="16"/>
                <w:szCs w:val="16"/>
              </w:rPr>
            </w:pPr>
            <w:r w:rsidRPr="00313ECB">
              <w:rPr>
                <w:rFonts w:asciiTheme="minorHAnsi" w:hAnsiTheme="minorHAnsi"/>
                <w:b/>
                <w:sz w:val="16"/>
                <w:szCs w:val="16"/>
              </w:rPr>
              <w:t>Descrição</w:t>
            </w:r>
          </w:p>
        </w:tc>
        <w:tc>
          <w:tcPr>
            <w:tcW w:w="1810"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313ECB" w:rsidP="00313ECB">
            <w:pPr>
              <w:spacing w:line="259" w:lineRule="auto"/>
              <w:ind w:right="55"/>
              <w:jc w:val="center"/>
              <w:rPr>
                <w:rFonts w:asciiTheme="minorHAnsi" w:hAnsiTheme="minorHAnsi"/>
                <w:b/>
                <w:sz w:val="16"/>
                <w:szCs w:val="16"/>
              </w:rPr>
            </w:pPr>
            <w:r w:rsidRPr="00313ECB">
              <w:rPr>
                <w:rFonts w:asciiTheme="minorHAnsi" w:hAnsiTheme="minorHAnsi"/>
                <w:b/>
                <w:sz w:val="16"/>
                <w:szCs w:val="16"/>
              </w:rPr>
              <w:t>Entidades</w:t>
            </w:r>
          </w:p>
          <w:p w:rsidR="00525A73" w:rsidRPr="00313ECB" w:rsidRDefault="00313ECB" w:rsidP="00313ECB">
            <w:pPr>
              <w:spacing w:line="259" w:lineRule="auto"/>
              <w:ind w:right="55"/>
              <w:jc w:val="center"/>
              <w:rPr>
                <w:rFonts w:asciiTheme="minorHAnsi" w:hAnsiTheme="minorHAnsi"/>
                <w:b/>
                <w:sz w:val="16"/>
                <w:szCs w:val="16"/>
              </w:rPr>
            </w:pPr>
            <w:r w:rsidRPr="00313ECB">
              <w:rPr>
                <w:rFonts w:asciiTheme="minorHAnsi" w:hAnsiTheme="minorHAnsi"/>
                <w:b/>
                <w:sz w:val="16"/>
                <w:szCs w:val="16"/>
              </w:rPr>
              <w:t>Participantes</w:t>
            </w:r>
          </w:p>
          <w:p w:rsidR="00525A73" w:rsidRPr="00313ECB" w:rsidRDefault="00313ECB" w:rsidP="00313ECB">
            <w:pPr>
              <w:spacing w:line="259" w:lineRule="auto"/>
              <w:ind w:right="55"/>
              <w:jc w:val="center"/>
              <w:rPr>
                <w:rFonts w:asciiTheme="minorHAnsi" w:hAnsiTheme="minorHAnsi"/>
                <w:b/>
                <w:sz w:val="16"/>
                <w:szCs w:val="16"/>
              </w:rPr>
            </w:pPr>
            <w:r w:rsidRPr="00313ECB">
              <w:rPr>
                <w:rFonts w:asciiTheme="minorHAnsi" w:hAnsiTheme="minorHAnsi"/>
                <w:b/>
                <w:sz w:val="16"/>
                <w:szCs w:val="16"/>
              </w:rPr>
              <w:t>UASG</w:t>
            </w:r>
          </w:p>
        </w:tc>
        <w:tc>
          <w:tcPr>
            <w:tcW w:w="616"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ind w:right="51"/>
              <w:jc w:val="center"/>
              <w:rPr>
                <w:rFonts w:asciiTheme="minorHAnsi" w:hAnsiTheme="minorHAnsi"/>
                <w:b/>
                <w:sz w:val="16"/>
                <w:szCs w:val="16"/>
              </w:rPr>
            </w:pPr>
            <w:r w:rsidRPr="00313ECB">
              <w:rPr>
                <w:rFonts w:asciiTheme="minorHAnsi" w:hAnsiTheme="minorHAnsi"/>
                <w:b/>
                <w:sz w:val="16"/>
                <w:szCs w:val="16"/>
              </w:rPr>
              <w:t>Local de Entrega</w:t>
            </w:r>
          </w:p>
        </w:tc>
        <w:tc>
          <w:tcPr>
            <w:tcW w:w="1876" w:type="dxa"/>
            <w:gridSpan w:val="3"/>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313ECB" w:rsidP="00313ECB">
            <w:pPr>
              <w:spacing w:line="259" w:lineRule="auto"/>
              <w:ind w:right="46"/>
              <w:jc w:val="center"/>
              <w:rPr>
                <w:rFonts w:asciiTheme="minorHAnsi" w:hAnsiTheme="minorHAnsi"/>
                <w:b/>
                <w:sz w:val="16"/>
                <w:szCs w:val="16"/>
              </w:rPr>
            </w:pPr>
            <w:r w:rsidRPr="00313ECB">
              <w:rPr>
                <w:rFonts w:asciiTheme="minorHAnsi" w:hAnsiTheme="minorHAnsi"/>
                <w:b/>
                <w:sz w:val="16"/>
                <w:szCs w:val="16"/>
              </w:rPr>
              <w:t>Quantitativos</w:t>
            </w:r>
          </w:p>
        </w:tc>
        <w:tc>
          <w:tcPr>
            <w:tcW w:w="562" w:type="dxa"/>
            <w:vMerge w:val="restart"/>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525A73" w:rsidP="00313ECB">
            <w:pPr>
              <w:spacing w:line="259" w:lineRule="auto"/>
              <w:ind w:right="5"/>
              <w:jc w:val="center"/>
              <w:rPr>
                <w:rFonts w:asciiTheme="minorHAnsi" w:hAnsiTheme="minorHAnsi"/>
                <w:b/>
                <w:sz w:val="16"/>
                <w:szCs w:val="16"/>
              </w:rPr>
            </w:pPr>
          </w:p>
          <w:p w:rsidR="00525A73" w:rsidRPr="00313ECB" w:rsidRDefault="00313ECB" w:rsidP="00313ECB">
            <w:pPr>
              <w:spacing w:line="259" w:lineRule="auto"/>
              <w:ind w:left="1" w:right="4"/>
              <w:jc w:val="center"/>
              <w:rPr>
                <w:rFonts w:asciiTheme="minorHAnsi" w:hAnsiTheme="minorHAnsi"/>
                <w:b/>
                <w:sz w:val="16"/>
                <w:szCs w:val="16"/>
              </w:rPr>
            </w:pPr>
            <w:r w:rsidRPr="00313ECB">
              <w:rPr>
                <w:rFonts w:asciiTheme="minorHAnsi" w:hAnsiTheme="minorHAnsi"/>
                <w:b/>
                <w:sz w:val="16"/>
                <w:szCs w:val="16"/>
              </w:rPr>
              <w:t>Valor total</w:t>
            </w:r>
          </w:p>
        </w:tc>
      </w:tr>
      <w:tr w:rsidR="00525A73" w:rsidRPr="00313ECB" w:rsidTr="00313ECB">
        <w:trPr>
          <w:trHeight w:val="623"/>
        </w:trPr>
        <w:tc>
          <w:tcPr>
            <w:tcW w:w="400"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375"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475"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3238"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1810"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616"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c>
          <w:tcPr>
            <w:tcW w:w="685" w:type="dxa"/>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bCs/>
                <w:sz w:val="16"/>
                <w:szCs w:val="16"/>
              </w:rPr>
              <w:t>Pedido mínimo</w:t>
            </w:r>
          </w:p>
        </w:tc>
        <w:tc>
          <w:tcPr>
            <w:tcW w:w="452" w:type="dxa"/>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bCs/>
                <w:sz w:val="16"/>
                <w:szCs w:val="16"/>
              </w:rPr>
              <w:t>Quantidades</w:t>
            </w:r>
          </w:p>
        </w:tc>
        <w:tc>
          <w:tcPr>
            <w:tcW w:w="738" w:type="dxa"/>
            <w:tcBorders>
              <w:top w:val="single" w:sz="4" w:space="0" w:color="000001"/>
              <w:left w:val="single" w:sz="4" w:space="0" w:color="000001"/>
              <w:bottom w:val="single" w:sz="4" w:space="0" w:color="000001"/>
              <w:right w:val="single" w:sz="4" w:space="0" w:color="000001"/>
            </w:tcBorders>
            <w:shd w:val="clear" w:color="auto" w:fill="D8D8D8"/>
            <w:tcMar>
              <w:left w:w="46" w:type="dxa"/>
            </w:tcMar>
            <w:textDirection w:val="btLr"/>
            <w:vAlign w:val="center"/>
          </w:tcPr>
          <w:p w:rsidR="00525A73" w:rsidRPr="00313ECB" w:rsidRDefault="00313ECB" w:rsidP="00313ECB">
            <w:pPr>
              <w:spacing w:line="259" w:lineRule="auto"/>
              <w:jc w:val="center"/>
              <w:rPr>
                <w:rFonts w:asciiTheme="minorHAnsi" w:hAnsiTheme="minorHAnsi"/>
                <w:b/>
                <w:bCs/>
                <w:sz w:val="16"/>
                <w:szCs w:val="16"/>
              </w:rPr>
            </w:pPr>
            <w:r w:rsidRPr="00313ECB">
              <w:rPr>
                <w:rFonts w:asciiTheme="minorHAnsi" w:hAnsiTheme="minorHAnsi"/>
                <w:b/>
                <w:bCs/>
                <w:sz w:val="16"/>
                <w:szCs w:val="16"/>
              </w:rPr>
              <w:t>Valor Unitário</w:t>
            </w:r>
          </w:p>
        </w:tc>
        <w:tc>
          <w:tcPr>
            <w:tcW w:w="563" w:type="dxa"/>
            <w:vMerge/>
            <w:tcBorders>
              <w:top w:val="single" w:sz="4" w:space="0" w:color="000001"/>
              <w:left w:val="single" w:sz="4" w:space="0" w:color="000001"/>
              <w:bottom w:val="single" w:sz="4" w:space="0" w:color="000001"/>
              <w:right w:val="single" w:sz="4" w:space="0" w:color="000001"/>
            </w:tcBorders>
            <w:shd w:val="clear" w:color="auto" w:fill="D8D8D8"/>
            <w:tcMar>
              <w:left w:w="46" w:type="dxa"/>
            </w:tcMar>
            <w:vAlign w:val="center"/>
          </w:tcPr>
          <w:p w:rsidR="00525A73" w:rsidRPr="00313ECB" w:rsidRDefault="00525A73" w:rsidP="00313ECB">
            <w:pPr>
              <w:jc w:val="center"/>
              <w:rPr>
                <w:rFonts w:asciiTheme="minorHAnsi" w:hAnsiTheme="minorHAnsi"/>
                <w:sz w:val="16"/>
                <w:szCs w:val="16"/>
              </w:rPr>
            </w:pPr>
          </w:p>
        </w:tc>
      </w:tr>
      <w:tr w:rsidR="00525A73" w:rsidRPr="00313ECB" w:rsidTr="00313ECB">
        <w:trPr>
          <w:trHeight w:val="1174"/>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1</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333945</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EXTINTOR DE INCÊNDIO EM PÓ QUÍMICO SECO - PQS COMPLETO COM (6KG). COM SUPORTE FIXAÇÃO PAREDE. GARANTIA MÍNIMA DE 12 MESES.</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3"/>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500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R$ 125,00</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9"/>
              <w:jc w:val="center"/>
              <w:rPr>
                <w:rFonts w:asciiTheme="minorHAnsi" w:hAnsiTheme="minorHAnsi"/>
                <w:b/>
                <w:sz w:val="16"/>
                <w:szCs w:val="16"/>
              </w:rPr>
            </w:pPr>
            <w:r w:rsidRPr="00313ECB">
              <w:rPr>
                <w:rFonts w:asciiTheme="minorHAnsi" w:hAnsiTheme="minorHAnsi"/>
                <w:b/>
                <w:sz w:val="16"/>
                <w:szCs w:val="16"/>
              </w:rPr>
              <w:t>R$ 62.500,00</w:t>
            </w:r>
          </w:p>
        </w:tc>
      </w:tr>
      <w:tr w:rsidR="00525A73" w:rsidRPr="00313ECB" w:rsidTr="00313ECB">
        <w:trPr>
          <w:trHeight w:val="634"/>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2</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271708</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EXTINTOR DE INCÊNDIO AP (ÁGUA PRESSURIZADA), COMPLETO COM 10 LITROS), COM SUPORTE FIXAÇÃO PAREDE. GARANTIA MÍNIMA DE 12 MESES.</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3"/>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500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R$ 84,32</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5"/>
              <w:jc w:val="center"/>
              <w:rPr>
                <w:rFonts w:asciiTheme="minorHAnsi" w:hAnsiTheme="minorHAnsi"/>
                <w:b/>
                <w:sz w:val="16"/>
                <w:szCs w:val="16"/>
              </w:rPr>
            </w:pPr>
            <w:r w:rsidRPr="00313ECB">
              <w:rPr>
                <w:rFonts w:asciiTheme="minorHAnsi" w:hAnsiTheme="minorHAnsi"/>
                <w:b/>
                <w:sz w:val="16"/>
                <w:szCs w:val="16"/>
              </w:rPr>
              <w:t>R$ 42.160,00</w:t>
            </w:r>
          </w:p>
        </w:tc>
      </w:tr>
      <w:tr w:rsidR="00525A73" w:rsidRPr="00313ECB" w:rsidTr="00313ECB">
        <w:trPr>
          <w:trHeight w:val="892"/>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lastRenderedPageBreak/>
              <w:t>3</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258406</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EXTINTOR DE INCÊNDIO EM CO2 COMPLETO COM (6KG). COM SUPORTE FIXAÇÃO PAREDE. GARANTIA MÍNIMA DE 12 MESES.</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2</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R$ 339,95</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R$ 33.995,00</w:t>
            </w:r>
          </w:p>
        </w:tc>
      </w:tr>
      <w:tr w:rsidR="00525A73" w:rsidRPr="00313ECB" w:rsidTr="00313ECB">
        <w:trPr>
          <w:trHeight w:val="888"/>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4</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150651</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PLACA INDICATIVA DE EXTINTOR DE INCÊNDIO - FOTOLUMINESCENTE PARA EXTINTOR PQS. CONFORME NORMA CORPO DE BOMBEIROS DO ESTADO DA PARAÍBA e NBR 13434-2 – Fabricado em PVC mínimo de 0,8 mm de espessura com adesivo fotoluminescente. Tamanho 15x20cm</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500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R$ 7,65</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R$ 3.825,00</w:t>
            </w:r>
          </w:p>
        </w:tc>
      </w:tr>
      <w:tr w:rsidR="00525A73" w:rsidRPr="00313ECB" w:rsidTr="00313ECB">
        <w:trPr>
          <w:trHeight w:val="888"/>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5</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150651</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PLACA INDICATIVA DE EXTINTOR DE INCÊNDIO - FOTOLUMINESCENTE PARA EXTINTOR ÁGUA PRESSURIZADA – CONFORME NORMA CORPO DE BOMBEIROS DO ESTADO DA PARAÍBA e NBR 13434-2 – Fabricado em PVC mínimo de 0,8 mm de espessura com adesivo fotoluminescente. Tamanho 15x20cm</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500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R$ 7,65</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R$ 3.825,00</w:t>
            </w:r>
          </w:p>
        </w:tc>
      </w:tr>
      <w:tr w:rsidR="00525A73" w:rsidRPr="00313ECB" w:rsidTr="00313ECB">
        <w:trPr>
          <w:trHeight w:val="888"/>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6</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150651</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PLACA INDICATIVA DE EXTINTOR DE INCÊNDIO - FOTOLUMINESCENTE PARA EXTINTOR GÁS CARBÔNICO – CONFORME NORMA CORPO DE BOMBEIROS DO ESTADO DA PARAÍBA e NBR 13434-2 – Fabricado em PVC mínimo de 0,8 mm de espessura com adesivo fotoluminescente. Tamanho 15x20cm</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2</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R$ 7,65</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R$ 765,00</w:t>
            </w:r>
          </w:p>
        </w:tc>
      </w:tr>
      <w:tr w:rsidR="00525A73" w:rsidRPr="00313ECB" w:rsidTr="00313ECB">
        <w:trPr>
          <w:trHeight w:val="888"/>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7</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150651</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PLACA INDICATIVA FOTOLUMINESCENTE ROTA DE FUGA E SINALIZAÇÕES CONFORME NORMA CORPO DE BOMBEIROS DO ESTADO DA PARAÍBA e NBR 13434-2 – Fabricado em PVC mínimo de 0,8 mm de espessura com adesivo fotoluminescente. Tamanho 15x20cm</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500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R$ 10,40</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R$ 5.200,00</w:t>
            </w:r>
          </w:p>
        </w:tc>
      </w:tr>
      <w:tr w:rsidR="00525A73" w:rsidRPr="00313ECB" w:rsidTr="00313ECB">
        <w:trPr>
          <w:trHeight w:val="888"/>
        </w:trPr>
        <w:tc>
          <w:tcPr>
            <w:tcW w:w="40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sz w:val="16"/>
                <w:szCs w:val="16"/>
              </w:rPr>
            </w:pPr>
            <w:r w:rsidRPr="00313ECB">
              <w:rPr>
                <w:rFonts w:asciiTheme="minorHAnsi" w:hAnsiTheme="minorHAnsi"/>
                <w:sz w:val="16"/>
                <w:szCs w:val="16"/>
              </w:rPr>
              <w:t>8</w:t>
            </w:r>
          </w:p>
        </w:tc>
        <w:tc>
          <w:tcPr>
            <w:tcW w:w="3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150260</w:t>
            </w:r>
          </w:p>
        </w:tc>
        <w:tc>
          <w:tcPr>
            <w:tcW w:w="47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Peça.</w:t>
            </w:r>
          </w:p>
        </w:tc>
        <w:tc>
          <w:tcPr>
            <w:tcW w:w="32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LUMINÁRIA DE EMERGÊNCIA COM LAMPADAS EM LEDS 960 LUMENS, BIVOLT.</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Aplicações: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Iluminação de emergência (aclaramento) -Para ambientes de 80 a 200 m²</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Características: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Leve e compacta</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Composição moderna em plástico ABS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Sistema de aclaramento em tecnologia LED</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Acendimento individual por farol</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Possui botão de teste</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com 2 Faróis em LED</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Autonomia 3 horas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Especificações técnicas: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Alimentação: Bivolt automático 220 V</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Autonomia: 3 horas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Bateria Gel selada: 6 V/4Ah</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Dimensões: 275x292x91 mm</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Fluxo luminoso: 960 lumens</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Grau de Proteção: IP-20</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Norma: NBR 10898</w:t>
            </w:r>
          </w:p>
          <w:p w:rsidR="00525A73" w:rsidRPr="00313ECB" w:rsidRDefault="00313ECB" w:rsidP="00313ECB">
            <w:pPr>
              <w:spacing w:line="259" w:lineRule="auto"/>
              <w:ind w:left="69"/>
              <w:jc w:val="center"/>
              <w:rPr>
                <w:rFonts w:asciiTheme="minorHAnsi" w:hAnsiTheme="minorHAnsi"/>
                <w:sz w:val="16"/>
                <w:szCs w:val="16"/>
              </w:rPr>
            </w:pPr>
            <w:r w:rsidRPr="00313ECB">
              <w:rPr>
                <w:rFonts w:asciiTheme="minorHAnsi" w:hAnsiTheme="minorHAnsi"/>
                <w:sz w:val="16"/>
                <w:szCs w:val="16"/>
              </w:rPr>
              <w:t>- Temperatura de cor do LED: 6000-7000k.</w:t>
            </w:r>
          </w:p>
        </w:tc>
        <w:tc>
          <w:tcPr>
            <w:tcW w:w="1810"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153066 – PREFEITURA UNIVERSITÁRIA DA UFPB</w:t>
            </w:r>
          </w:p>
          <w:p w:rsidR="00525A73" w:rsidRPr="00313ECB" w:rsidRDefault="00313ECB" w:rsidP="00313ECB">
            <w:pPr>
              <w:spacing w:line="259" w:lineRule="auto"/>
              <w:jc w:val="center"/>
              <w:rPr>
                <w:rFonts w:asciiTheme="minorHAnsi" w:hAnsiTheme="minorHAnsi"/>
                <w:b/>
                <w:sz w:val="16"/>
                <w:szCs w:val="16"/>
              </w:rPr>
            </w:pPr>
            <w:r w:rsidRPr="00313ECB">
              <w:rPr>
                <w:rFonts w:asciiTheme="minorHAnsi" w:hAnsiTheme="minorHAnsi"/>
                <w:b/>
                <w:sz w:val="16"/>
                <w:szCs w:val="16"/>
              </w:rPr>
              <w:t>(Órgão Gerenciador)</w:t>
            </w:r>
          </w:p>
        </w:tc>
        <w:tc>
          <w:tcPr>
            <w:tcW w:w="616"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4"/>
              <w:jc w:val="center"/>
              <w:rPr>
                <w:rFonts w:asciiTheme="minorHAnsi" w:hAnsiTheme="minorHAnsi"/>
                <w:b/>
                <w:sz w:val="16"/>
                <w:szCs w:val="16"/>
              </w:rPr>
            </w:pPr>
            <w:r w:rsidRPr="00313ECB">
              <w:rPr>
                <w:rFonts w:asciiTheme="minorHAnsi" w:hAnsiTheme="minorHAnsi"/>
                <w:b/>
                <w:sz w:val="16"/>
                <w:szCs w:val="16"/>
              </w:rPr>
              <w:t>João Pessoa/PB</w:t>
            </w:r>
          </w:p>
        </w:tc>
        <w:tc>
          <w:tcPr>
            <w:tcW w:w="685" w:type="dxa"/>
            <w:tcBorders>
              <w:top w:val="single" w:sz="4" w:space="0" w:color="000001"/>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10</w:t>
            </w:r>
          </w:p>
        </w:tc>
        <w:tc>
          <w:tcPr>
            <w:tcW w:w="452"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50"/>
              <w:jc w:val="center"/>
              <w:rPr>
                <w:rFonts w:asciiTheme="minorHAnsi" w:hAnsiTheme="minorHAnsi"/>
                <w:b/>
                <w:sz w:val="16"/>
                <w:szCs w:val="16"/>
              </w:rPr>
            </w:pPr>
            <w:r w:rsidRPr="00313ECB">
              <w:rPr>
                <w:rFonts w:asciiTheme="minorHAnsi" w:hAnsiTheme="minorHAnsi"/>
                <w:b/>
                <w:sz w:val="16"/>
                <w:szCs w:val="16"/>
              </w:rPr>
              <w:t>400</w:t>
            </w:r>
          </w:p>
        </w:tc>
        <w:tc>
          <w:tcPr>
            <w:tcW w:w="738"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right="49"/>
              <w:jc w:val="center"/>
              <w:rPr>
                <w:rFonts w:asciiTheme="minorHAnsi" w:hAnsiTheme="minorHAnsi"/>
                <w:b/>
                <w:sz w:val="16"/>
                <w:szCs w:val="16"/>
              </w:rPr>
            </w:pPr>
            <w:r w:rsidRPr="00313ECB">
              <w:rPr>
                <w:rFonts w:asciiTheme="minorHAnsi" w:hAnsiTheme="minorHAnsi"/>
                <w:b/>
                <w:sz w:val="16"/>
                <w:szCs w:val="16"/>
              </w:rPr>
              <w:t>169,99</w:t>
            </w:r>
          </w:p>
        </w:tc>
        <w:tc>
          <w:tcPr>
            <w:tcW w:w="563" w:type="dxa"/>
            <w:tcBorders>
              <w:top w:val="single" w:sz="4" w:space="0" w:color="000001"/>
              <w:left w:val="single" w:sz="4" w:space="0" w:color="000001"/>
              <w:bottom w:val="single" w:sz="4" w:space="0" w:color="000001"/>
              <w:right w:val="single" w:sz="4" w:space="0" w:color="000001"/>
            </w:tcBorders>
            <w:shd w:val="clear" w:color="auto" w:fill="FFFFFF"/>
            <w:tcMar>
              <w:left w:w="46" w:type="dxa"/>
            </w:tcMar>
            <w:textDirection w:val="btLr"/>
            <w:vAlign w:val="center"/>
          </w:tcPr>
          <w:p w:rsidR="00525A73" w:rsidRPr="00313ECB" w:rsidRDefault="00313ECB" w:rsidP="00313ECB">
            <w:pPr>
              <w:spacing w:line="259" w:lineRule="auto"/>
              <w:ind w:left="9"/>
              <w:jc w:val="center"/>
              <w:rPr>
                <w:rFonts w:asciiTheme="minorHAnsi" w:hAnsiTheme="minorHAnsi"/>
                <w:b/>
                <w:sz w:val="16"/>
                <w:szCs w:val="16"/>
              </w:rPr>
            </w:pPr>
            <w:r w:rsidRPr="00313ECB">
              <w:rPr>
                <w:rFonts w:asciiTheme="minorHAnsi" w:hAnsiTheme="minorHAnsi"/>
                <w:b/>
                <w:sz w:val="16"/>
                <w:szCs w:val="16"/>
              </w:rPr>
              <w:t>67.996, 00</w:t>
            </w:r>
          </w:p>
        </w:tc>
      </w:tr>
      <w:tr w:rsidR="00525A73" w:rsidRPr="00313ECB" w:rsidTr="00313ECB">
        <w:trPr>
          <w:trHeight w:val="409"/>
        </w:trPr>
        <w:tc>
          <w:tcPr>
            <w:tcW w:w="6298" w:type="dxa"/>
            <w:gridSpan w:val="5"/>
            <w:tcBorders>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right="47"/>
              <w:jc w:val="center"/>
              <w:rPr>
                <w:rFonts w:asciiTheme="minorHAnsi" w:hAnsiTheme="minorHAnsi"/>
                <w:b/>
                <w:bCs/>
                <w:sz w:val="16"/>
                <w:szCs w:val="16"/>
              </w:rPr>
            </w:pPr>
            <w:r w:rsidRPr="00313ECB">
              <w:rPr>
                <w:rFonts w:asciiTheme="minorHAnsi" w:hAnsiTheme="minorHAnsi"/>
                <w:b/>
                <w:bCs/>
                <w:sz w:val="16"/>
                <w:szCs w:val="16"/>
              </w:rPr>
              <w:t>VALOR GLOBAL DA AQUISIÇÃO</w:t>
            </w:r>
          </w:p>
        </w:tc>
        <w:tc>
          <w:tcPr>
            <w:tcW w:w="3054" w:type="dxa"/>
            <w:gridSpan w:val="5"/>
            <w:tcBorders>
              <w:left w:val="single" w:sz="4" w:space="0" w:color="000001"/>
              <w:bottom w:val="single" w:sz="4" w:space="0" w:color="000001"/>
              <w:right w:val="single" w:sz="4" w:space="0" w:color="000001"/>
            </w:tcBorders>
            <w:shd w:val="clear" w:color="auto" w:fill="FFFFFF"/>
            <w:tcMar>
              <w:left w:w="46" w:type="dxa"/>
            </w:tcMar>
            <w:vAlign w:val="center"/>
          </w:tcPr>
          <w:p w:rsidR="00525A73" w:rsidRPr="00313ECB" w:rsidRDefault="00313ECB" w:rsidP="00313ECB">
            <w:pPr>
              <w:spacing w:line="259" w:lineRule="auto"/>
              <w:ind w:left="9"/>
              <w:jc w:val="center"/>
              <w:rPr>
                <w:rFonts w:asciiTheme="minorHAnsi" w:hAnsiTheme="minorHAnsi"/>
                <w:b/>
                <w:bCs/>
                <w:sz w:val="16"/>
                <w:szCs w:val="16"/>
              </w:rPr>
            </w:pPr>
            <w:r w:rsidRPr="00313ECB">
              <w:rPr>
                <w:rFonts w:asciiTheme="minorHAnsi" w:hAnsiTheme="minorHAnsi"/>
                <w:b/>
                <w:bCs/>
                <w:sz w:val="16"/>
                <w:szCs w:val="16"/>
              </w:rPr>
              <w:t>R$ 220.266,00</w:t>
            </w:r>
          </w:p>
        </w:tc>
      </w:tr>
    </w:tbl>
    <w:p w:rsidR="00525A73" w:rsidRPr="00313ECB" w:rsidRDefault="00525A73">
      <w:pPr>
        <w:spacing w:before="120" w:after="120" w:line="276" w:lineRule="auto"/>
        <w:ind w:left="360"/>
        <w:jc w:val="both"/>
        <w:rPr>
          <w:rFonts w:asciiTheme="minorHAnsi" w:hAnsiTheme="minorHAnsi" w:cs="Arial"/>
          <w:b/>
          <w:i/>
          <w:color w:val="FF0000"/>
          <w:sz w:val="20"/>
          <w:szCs w:val="20"/>
        </w:rPr>
      </w:pPr>
    </w:p>
    <w:p w:rsidR="00525A73" w:rsidRPr="00313ECB" w:rsidRDefault="00313ECB">
      <w:pPr>
        <w:numPr>
          <w:ilvl w:val="0"/>
          <w:numId w:val="1"/>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DO ÓRGÃO GERENCIADOR E ÓRGÃOS PARTICIPANTES</w:t>
      </w:r>
    </w:p>
    <w:p w:rsidR="00525A73" w:rsidRPr="00313ECB" w:rsidRDefault="00313ECB">
      <w:pPr>
        <w:numPr>
          <w:ilvl w:val="1"/>
          <w:numId w:val="1"/>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órgão gerenciador será o 153066 – PREFEITURA UNIVERSITÁRIA DA UFPB </w:t>
      </w:r>
    </w:p>
    <w:p w:rsidR="00525A73" w:rsidRPr="00313ECB" w:rsidRDefault="00313ECB">
      <w:pPr>
        <w:numPr>
          <w:ilvl w:val="1"/>
          <w:numId w:val="1"/>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São participantes os seguintes órgãos:</w:t>
      </w:r>
    </w:p>
    <w:p w:rsidR="00525A73" w:rsidRPr="00313ECB" w:rsidRDefault="00313ECB">
      <w:pPr>
        <w:numPr>
          <w:ilvl w:val="2"/>
          <w:numId w:val="1"/>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w:t>
      </w:r>
      <w:proofErr w:type="gramEnd"/>
      <w:r w:rsidRPr="00313ECB">
        <w:rPr>
          <w:rFonts w:asciiTheme="minorHAnsi" w:hAnsiTheme="minorHAnsi" w:cs="Arial"/>
          <w:color w:val="000000"/>
          <w:sz w:val="20"/>
          <w:szCs w:val="20"/>
        </w:rPr>
        <w:t>(nome do órgão)....;</w:t>
      </w:r>
    </w:p>
    <w:p w:rsidR="00525A73" w:rsidRPr="00313ECB" w:rsidRDefault="00525A73">
      <w:pPr>
        <w:spacing w:before="120" w:after="120" w:line="276" w:lineRule="auto"/>
        <w:ind w:left="3340"/>
        <w:jc w:val="both"/>
        <w:rPr>
          <w:rFonts w:asciiTheme="minorHAnsi" w:hAnsiTheme="minorHAnsi" w:cs="Arial"/>
          <w:b/>
          <w:sz w:val="20"/>
          <w:szCs w:val="20"/>
          <w:lang w:eastAsia="en-US"/>
        </w:rPr>
      </w:pPr>
    </w:p>
    <w:p w:rsidR="00525A73" w:rsidRPr="00313ECB" w:rsidRDefault="00313ECB">
      <w:pPr>
        <w:numPr>
          <w:ilvl w:val="0"/>
          <w:numId w:val="1"/>
        </w:numPr>
        <w:spacing w:before="120" w:after="120" w:line="276" w:lineRule="auto"/>
        <w:ind w:left="0" w:firstLine="0"/>
        <w:jc w:val="both"/>
        <w:rPr>
          <w:rFonts w:asciiTheme="minorHAnsi" w:hAnsiTheme="minorHAnsi"/>
        </w:rPr>
      </w:pPr>
      <w:r w:rsidRPr="00313ECB">
        <w:rPr>
          <w:rFonts w:asciiTheme="minorHAnsi" w:hAnsiTheme="minorHAnsi" w:cs="Arial"/>
          <w:b/>
          <w:sz w:val="20"/>
          <w:szCs w:val="20"/>
          <w:lang w:eastAsia="en-US"/>
        </w:rPr>
        <w:t>DA ADESÃO À ATA DE REGISTRO DE PREÇOS</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525A73" w:rsidRPr="00313ECB" w:rsidRDefault="00313ECB">
      <w:pPr>
        <w:numPr>
          <w:ilvl w:val="1"/>
          <w:numId w:val="2"/>
        </w:numPr>
        <w:spacing w:before="120" w:after="120" w:line="276" w:lineRule="auto"/>
        <w:ind w:left="425" w:firstLine="0"/>
        <w:jc w:val="both"/>
        <w:rPr>
          <w:rFonts w:asciiTheme="minorHAnsi" w:hAnsiTheme="minorHAnsi"/>
          <w:color w:val="000000"/>
        </w:rPr>
      </w:pPr>
      <w:r w:rsidRPr="00313ECB">
        <w:rPr>
          <w:rFonts w:asciiTheme="minorHAnsi" w:hAnsiTheme="minorHAnsi" w:cs="Arial"/>
          <w:color w:val="00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525A73" w:rsidRPr="00313ECB" w:rsidRDefault="00313ECB">
      <w:pPr>
        <w:numPr>
          <w:ilvl w:val="1"/>
          <w:numId w:val="2"/>
        </w:numPr>
        <w:spacing w:before="120" w:after="120" w:line="276" w:lineRule="auto"/>
        <w:ind w:left="425" w:firstLine="0"/>
        <w:jc w:val="both"/>
        <w:rPr>
          <w:rFonts w:asciiTheme="minorHAnsi" w:hAnsiTheme="minorHAnsi"/>
          <w:color w:val="000000"/>
        </w:rPr>
      </w:pPr>
      <w:r w:rsidRPr="00313ECB">
        <w:rPr>
          <w:rFonts w:asciiTheme="minorHAnsi" w:hAnsiTheme="minorHAnsi" w:cs="Arial"/>
          <w:color w:val="000000"/>
          <w:sz w:val="20"/>
          <w:szCs w:val="20"/>
        </w:rPr>
        <w:t>As adesões à ata de registro de preços são limitadas, na totalidade, ao .............  (</w:t>
      </w:r>
      <w:proofErr w:type="gramStart"/>
      <w:r w:rsidRPr="00313ECB">
        <w:rPr>
          <w:rFonts w:asciiTheme="minorHAnsi" w:hAnsiTheme="minorHAnsi" w:cs="Arial"/>
          <w:color w:val="000000"/>
          <w:sz w:val="20"/>
          <w:szCs w:val="20"/>
        </w:rPr>
        <w:t>máximo</w:t>
      </w:r>
      <w:proofErr w:type="gramEnd"/>
      <w:r w:rsidRPr="00313ECB">
        <w:rPr>
          <w:rFonts w:asciiTheme="minorHAnsi" w:hAnsiTheme="minorHAnsi" w:cs="Arial"/>
          <w:color w:val="000000"/>
          <w:sz w:val="20"/>
          <w:szCs w:val="20"/>
        </w:rPr>
        <w:t xml:space="preserve"> quíntuplo)..... </w:t>
      </w:r>
      <w:proofErr w:type="gramStart"/>
      <w:r w:rsidRPr="00313ECB">
        <w:rPr>
          <w:rFonts w:asciiTheme="minorHAnsi" w:hAnsiTheme="minorHAnsi" w:cs="Arial"/>
          <w:color w:val="000000"/>
          <w:sz w:val="20"/>
          <w:szCs w:val="20"/>
        </w:rPr>
        <w:t>do</w:t>
      </w:r>
      <w:proofErr w:type="gramEnd"/>
      <w:r w:rsidRPr="00313ECB">
        <w:rPr>
          <w:rFonts w:asciiTheme="minorHAnsi" w:hAnsiTheme="minorHAnsi" w:cs="Arial"/>
          <w:color w:val="000000"/>
          <w:sz w:val="20"/>
          <w:szCs w:val="20"/>
        </w:rPr>
        <w:t xml:space="preserve"> quantitativo de cada item registrado na ata de registro de preços para o órgão gerenciador e órgãos participantes, independente do número de órgãos não participantes que eventualmente aderirem.</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Após a autorização do órgão gerenciador, o órgão não participante deverá efetivar a contratação solicitada em até noventa dias, observado o prazo de validade da Ata de Registro de Preços.</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rsidR="00525A73" w:rsidRPr="00313ECB" w:rsidRDefault="00525A73">
      <w:pPr>
        <w:spacing w:after="120" w:line="276" w:lineRule="auto"/>
        <w:ind w:right="-15"/>
        <w:jc w:val="both"/>
        <w:rPr>
          <w:rFonts w:asciiTheme="minorHAnsi" w:hAnsiTheme="minorHAnsi" w:cs="Arial"/>
          <w:i/>
          <w:color w:val="FF0000"/>
          <w:sz w:val="20"/>
          <w:szCs w:val="20"/>
        </w:rPr>
      </w:pPr>
    </w:p>
    <w:p w:rsidR="00525A73" w:rsidRPr="00313ECB" w:rsidRDefault="00313ECB">
      <w:pPr>
        <w:numPr>
          <w:ilvl w:val="0"/>
          <w:numId w:val="2"/>
        </w:numPr>
        <w:spacing w:after="120" w:line="276" w:lineRule="auto"/>
        <w:jc w:val="both"/>
        <w:rPr>
          <w:rFonts w:asciiTheme="minorHAnsi" w:hAnsiTheme="minorHAnsi" w:cs="Arial"/>
          <w:b/>
          <w:color w:val="000000"/>
          <w:sz w:val="20"/>
          <w:szCs w:val="20"/>
        </w:rPr>
      </w:pPr>
      <w:r w:rsidRPr="00313ECB">
        <w:rPr>
          <w:rFonts w:asciiTheme="minorHAnsi" w:hAnsiTheme="minorHAnsi" w:cs="Arial"/>
          <w:b/>
          <w:color w:val="000000"/>
          <w:sz w:val="20"/>
          <w:szCs w:val="20"/>
        </w:rPr>
        <w:t>DO CREDENCIAMENTO</w:t>
      </w:r>
    </w:p>
    <w:p w:rsidR="00525A73" w:rsidRPr="00313ECB" w:rsidRDefault="00313ECB">
      <w:pPr>
        <w:numPr>
          <w:ilvl w:val="1"/>
          <w:numId w:val="2"/>
        </w:numPr>
        <w:spacing w:before="120" w:after="120" w:line="276" w:lineRule="auto"/>
        <w:ind w:left="425" w:firstLine="0"/>
        <w:jc w:val="both"/>
        <w:rPr>
          <w:rFonts w:asciiTheme="minorHAnsi" w:hAnsiTheme="minorHAnsi" w:cs="Arial"/>
          <w:bCs/>
          <w:iCs/>
          <w:color w:val="000000"/>
          <w:sz w:val="20"/>
          <w:szCs w:val="20"/>
        </w:rPr>
      </w:pPr>
      <w:r w:rsidRPr="00313ECB">
        <w:rPr>
          <w:rFonts w:asciiTheme="minorHAnsi" w:hAnsiTheme="minorHAnsi" w:cs="Arial"/>
          <w:bCs/>
          <w:iCs/>
          <w:color w:val="000000"/>
          <w:sz w:val="20"/>
          <w:szCs w:val="20"/>
        </w:rPr>
        <w:t>O Credenciamento é o nível básico do registro cadastral no SICAF, que permite a participação dos interessados na modalidade licitatória Pregão, em sua forma eletrônica.</w:t>
      </w:r>
    </w:p>
    <w:p w:rsidR="00525A73" w:rsidRPr="00313ECB" w:rsidRDefault="00313ECB">
      <w:pPr>
        <w:numPr>
          <w:ilvl w:val="1"/>
          <w:numId w:val="2"/>
        </w:numPr>
        <w:spacing w:before="120" w:after="120" w:line="276" w:lineRule="auto"/>
        <w:ind w:left="425" w:firstLine="0"/>
        <w:jc w:val="both"/>
        <w:rPr>
          <w:rFonts w:asciiTheme="minorHAnsi" w:hAnsiTheme="minorHAnsi" w:cs="Arial"/>
          <w:bCs/>
          <w:iCs/>
          <w:color w:val="000000"/>
          <w:sz w:val="20"/>
          <w:szCs w:val="20"/>
        </w:rPr>
      </w:pPr>
      <w:r w:rsidRPr="00313ECB">
        <w:rPr>
          <w:rFonts w:asciiTheme="minorHAnsi" w:hAnsiTheme="minorHAnsi" w:cs="Arial"/>
          <w:bCs/>
          <w:iCs/>
          <w:color w:val="000000"/>
          <w:sz w:val="20"/>
          <w:szCs w:val="20"/>
        </w:rPr>
        <w:t>O cadastro no SICAF poderá ser iniciado no Portal de Compras do Governo Federal, no sítio www.comprasgovernamentais.gov.br, com a solicitação de login e senha pelo interessado.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lastRenderedPageBreak/>
        <w:t>A perda da senha ou a quebra de sigilo deverão ser comunicadas imediatamente ao provedor do sistema para imediato bloqueio de acesso.</w:t>
      </w:r>
    </w:p>
    <w:p w:rsidR="00525A73" w:rsidRPr="00313ECB" w:rsidRDefault="00525A73">
      <w:pPr>
        <w:snapToGrid w:val="0"/>
        <w:spacing w:before="120" w:after="120" w:line="276" w:lineRule="auto"/>
        <w:ind w:left="425"/>
        <w:jc w:val="both"/>
        <w:rPr>
          <w:rFonts w:asciiTheme="minorHAnsi" w:hAnsiTheme="minorHAnsi" w:cs="Arial"/>
          <w:bCs/>
          <w:color w:val="000000"/>
          <w:sz w:val="20"/>
          <w:szCs w:val="20"/>
        </w:rPr>
      </w:pPr>
    </w:p>
    <w:p w:rsidR="00525A73" w:rsidRPr="00313ECB" w:rsidRDefault="00313ECB">
      <w:pPr>
        <w:numPr>
          <w:ilvl w:val="0"/>
          <w:numId w:val="2"/>
        </w:numPr>
        <w:snapToGrid w:val="0"/>
        <w:spacing w:before="120" w:after="120" w:line="276" w:lineRule="auto"/>
        <w:ind w:left="0" w:firstLine="0"/>
        <w:jc w:val="both"/>
        <w:rPr>
          <w:rFonts w:asciiTheme="minorHAnsi" w:hAnsiTheme="minorHAnsi" w:cs="Arial"/>
          <w:b/>
          <w:bCs/>
          <w:color w:val="000000"/>
          <w:sz w:val="20"/>
          <w:szCs w:val="20"/>
        </w:rPr>
      </w:pPr>
      <w:r w:rsidRPr="00313ECB">
        <w:rPr>
          <w:rFonts w:asciiTheme="minorHAnsi" w:hAnsiTheme="minorHAnsi" w:cs="Arial"/>
          <w:b/>
          <w:bCs/>
          <w:color w:val="000000"/>
          <w:sz w:val="20"/>
          <w:szCs w:val="20"/>
        </w:rPr>
        <w:t>DA PARTICIPAÇÃO NO PREGÃO.</w:t>
      </w:r>
    </w:p>
    <w:p w:rsidR="00525A73" w:rsidRPr="00313ECB" w:rsidRDefault="00313ECB">
      <w:pPr>
        <w:numPr>
          <w:ilvl w:val="1"/>
          <w:numId w:val="2"/>
        </w:numPr>
        <w:snapToGrid w:val="0"/>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A participação neste Pregão é exclusiva a microempresas, empresas de pequeno porte e sociedades cooperativas enquadradas no art. 34 da Lei nº 11.488, de 2007, cujo ramo de atividade seja compatível com o objeto desta licitação, e que estejam com Credenciamento regular no</w:t>
      </w:r>
      <w:r w:rsidRPr="00313ECB">
        <w:rPr>
          <w:rFonts w:asciiTheme="minorHAnsi" w:hAnsiTheme="minorHAnsi" w:cs="Arial"/>
          <w:color w:val="000000"/>
          <w:sz w:val="20"/>
          <w:szCs w:val="20"/>
        </w:rPr>
        <w:t xml:space="preserve"> Sistema de Cadastramento Unificado de Fornecedores – SICAF, conforme disposto no §3º do artigo 8º da Instrução Normativa SLTI/MPOG nº 2, de 2010. </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bCs/>
          <w:iCs/>
          <w:color w:val="000000"/>
          <w:sz w:val="20"/>
          <w:szCs w:val="20"/>
        </w:rPr>
      </w:pPr>
      <w:r w:rsidRPr="00313ECB">
        <w:rPr>
          <w:rFonts w:asciiTheme="minorHAnsi" w:hAnsiTheme="minorHAnsi" w:cs="Arial"/>
          <w:bCs/>
          <w:iCs/>
          <w:color w:val="000000"/>
          <w:sz w:val="20"/>
          <w:szCs w:val="20"/>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525A73" w:rsidRPr="00313ECB" w:rsidRDefault="00313ECB">
      <w:pPr>
        <w:numPr>
          <w:ilvl w:val="1"/>
          <w:numId w:val="2"/>
        </w:numPr>
        <w:snapToGrid w:val="0"/>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Não poderão participar desta licitação os interessados indicados no item acima:</w:t>
      </w:r>
    </w:p>
    <w:p w:rsidR="00525A73" w:rsidRPr="00313ECB" w:rsidRDefault="00313ECB">
      <w:pPr>
        <w:numPr>
          <w:ilvl w:val="2"/>
          <w:numId w:val="2"/>
        </w:numPr>
        <w:spacing w:before="120" w:after="120" w:line="276" w:lineRule="auto"/>
        <w:ind w:left="1134" w:firstLine="0"/>
        <w:jc w:val="both"/>
        <w:rPr>
          <w:rFonts w:asciiTheme="minorHAnsi" w:hAnsiTheme="minorHAnsi" w:cs="Arial"/>
          <w:bCs/>
          <w:color w:val="000000"/>
          <w:sz w:val="20"/>
          <w:szCs w:val="20"/>
        </w:rPr>
      </w:pPr>
      <w:proofErr w:type="gramStart"/>
      <w:r w:rsidRPr="00313ECB">
        <w:rPr>
          <w:rFonts w:asciiTheme="minorHAnsi" w:hAnsiTheme="minorHAnsi" w:cs="Arial"/>
          <w:bCs/>
          <w:color w:val="000000"/>
          <w:sz w:val="20"/>
          <w:szCs w:val="20"/>
        </w:rPr>
        <w:t>proibidos</w:t>
      </w:r>
      <w:proofErr w:type="gramEnd"/>
      <w:r w:rsidRPr="00313ECB">
        <w:rPr>
          <w:rFonts w:asciiTheme="minorHAnsi" w:hAnsiTheme="minorHAnsi" w:cs="Arial"/>
          <w:bCs/>
          <w:color w:val="000000"/>
          <w:sz w:val="20"/>
          <w:szCs w:val="20"/>
        </w:rPr>
        <w:t xml:space="preserve"> de participar de licitações e celebrar contratos administrativos, na forma da legislação vigente;</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que</w:t>
      </w:r>
      <w:proofErr w:type="gramEnd"/>
      <w:r w:rsidRPr="00313ECB">
        <w:rPr>
          <w:rFonts w:asciiTheme="minorHAnsi" w:hAnsiTheme="minorHAnsi" w:cs="Arial"/>
          <w:color w:val="000000"/>
          <w:sz w:val="20"/>
          <w:szCs w:val="20"/>
        </w:rPr>
        <w:t xml:space="preserve"> estejam sob falência, em recuperação judicial ou extrajudicial, concurso de credores, concordata ou insolvência, em processo de dissolução ou liquidação;</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sz w:val="20"/>
          <w:szCs w:val="20"/>
        </w:rPr>
        <w:t>que</w:t>
      </w:r>
      <w:proofErr w:type="gramEnd"/>
      <w:r w:rsidRPr="00313ECB">
        <w:rPr>
          <w:rFonts w:asciiTheme="minorHAnsi" w:eastAsia="Zurich BT" w:hAnsiTheme="minorHAnsi" w:cs="Arial"/>
          <w:bCs/>
          <w:color w:val="000000"/>
          <w:sz w:val="20"/>
          <w:szCs w:val="20"/>
        </w:rPr>
        <w:t xml:space="preserve"> e</w:t>
      </w:r>
      <w:r w:rsidRPr="00313ECB">
        <w:rPr>
          <w:rFonts w:asciiTheme="minorHAnsi" w:hAnsiTheme="minorHAnsi" w:cs="Arial"/>
          <w:sz w:val="20"/>
          <w:szCs w:val="20"/>
        </w:rPr>
        <w:t>stejam reunidas em consórcio;</w:t>
      </w:r>
    </w:p>
    <w:p w:rsidR="00525A73" w:rsidRPr="00313ECB" w:rsidRDefault="00313ECB">
      <w:pPr>
        <w:numPr>
          <w:ilvl w:val="1"/>
          <w:numId w:val="2"/>
        </w:numPr>
        <w:snapToGrid w:val="0"/>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Também é vedada a participação de </w:t>
      </w:r>
      <w:r w:rsidRPr="00313ECB">
        <w:rPr>
          <w:rFonts w:asciiTheme="minorHAnsi" w:eastAsia="Arial Unicode MS" w:hAnsiTheme="minorHAnsi" w:cs="Arial"/>
          <w:color w:val="000000"/>
          <w:sz w:val="20"/>
          <w:szCs w:val="20"/>
        </w:rPr>
        <w:t>quaisquer interessados que se enquadrem nas vedações previstas no artigo 9º da Lei nº 8.666, de 1993.</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Como condição para participação no Pregão, a entidade de menor porte deverá declarar:</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bCs/>
          <w:color w:val="000000"/>
          <w:sz w:val="20"/>
          <w:szCs w:val="20"/>
        </w:rPr>
        <w:t>que</w:t>
      </w:r>
      <w:proofErr w:type="gramEnd"/>
      <w:r w:rsidRPr="00313ECB">
        <w:rPr>
          <w:rFonts w:asciiTheme="minorHAnsi" w:hAnsiTheme="minorHAnsi" w:cs="Arial"/>
          <w:bCs/>
          <w:color w:val="000000"/>
          <w:sz w:val="20"/>
          <w:szCs w:val="20"/>
        </w:rPr>
        <w:t xml:space="preserve"> cumpre os requisitos estabelecidos no artigo 3° </w:t>
      </w:r>
      <w:r w:rsidRPr="00313ECB">
        <w:rPr>
          <w:rFonts w:asciiTheme="minorHAnsi" w:hAnsiTheme="minorHAnsi" w:cs="Arial"/>
          <w:color w:val="000000"/>
          <w:sz w:val="20"/>
          <w:szCs w:val="20"/>
        </w:rPr>
        <w:t>da Lei Complementar nº 123, de 2006, estando apta a usufruir do tratamento favorecido estabelecido em seus arts. 42 a 49.</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Deverá assinalar, ainda, “sim” ou “não” em campo próprio do sistema eletrônico, relativo às seguintes declarações:</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que</w:t>
      </w:r>
      <w:proofErr w:type="gramEnd"/>
      <w:r w:rsidRPr="00313ECB">
        <w:rPr>
          <w:rFonts w:asciiTheme="minorHAnsi" w:hAnsiTheme="minorHAnsi" w:cs="Arial"/>
          <w:color w:val="000000"/>
          <w:sz w:val="20"/>
          <w:szCs w:val="20"/>
        </w:rPr>
        <w:t xml:space="preserve"> está ciente e concorda com as condições contidas no Edital e seus anexos, bem como de que cumpre plenamente os requisitos de habilitação definidos no Edital;</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que</w:t>
      </w:r>
      <w:proofErr w:type="gramEnd"/>
      <w:r w:rsidRPr="00313ECB">
        <w:rPr>
          <w:rFonts w:asciiTheme="minorHAnsi" w:hAnsiTheme="minorHAnsi" w:cs="Arial"/>
          <w:color w:val="000000"/>
          <w:sz w:val="20"/>
          <w:szCs w:val="20"/>
        </w:rPr>
        <w:t xml:space="preserve"> inexistem fatos impeditivos para sua habilitação no certame, ciente da obrigatoriedade de declarar ocorrências posteriores; </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que</w:t>
      </w:r>
      <w:proofErr w:type="gramEnd"/>
      <w:r w:rsidRPr="00313ECB">
        <w:rPr>
          <w:rFonts w:asciiTheme="minorHAnsi" w:hAnsiTheme="minorHAnsi"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eastAsia="Zurich BT" w:hAnsiTheme="minorHAnsi" w:cs="Arial"/>
          <w:color w:val="000000"/>
          <w:sz w:val="20"/>
          <w:szCs w:val="20"/>
        </w:rPr>
        <w:t>que</w:t>
      </w:r>
      <w:proofErr w:type="gramEnd"/>
      <w:r w:rsidRPr="00313ECB">
        <w:rPr>
          <w:rFonts w:asciiTheme="minorHAnsi" w:eastAsia="Zurich BT" w:hAnsiTheme="minorHAnsi" w:cs="Arial"/>
          <w:color w:val="000000"/>
          <w:sz w:val="20"/>
          <w:szCs w:val="20"/>
        </w:rPr>
        <w:t xml:space="preserve"> a proposta foi elaborada de forma independente, nos termos d</w:t>
      </w:r>
      <w:r w:rsidRPr="00313ECB">
        <w:rPr>
          <w:rFonts w:asciiTheme="minorHAnsi" w:hAnsiTheme="minorHAnsi" w:cs="Arial"/>
          <w:color w:val="000000"/>
          <w:sz w:val="20"/>
          <w:szCs w:val="20"/>
        </w:rPr>
        <w:t>a Instrução Normativa SLTI/MPOG nº 2, de 16 de setembro de 2009.</w:t>
      </w:r>
    </w:p>
    <w:p w:rsidR="00525A73" w:rsidRPr="00313ECB" w:rsidRDefault="00525A73">
      <w:pPr>
        <w:spacing w:after="120" w:line="276" w:lineRule="auto"/>
        <w:ind w:left="756"/>
        <w:jc w:val="both"/>
        <w:rPr>
          <w:rFonts w:asciiTheme="minorHAnsi" w:hAnsiTheme="minorHAnsi" w:cs="Arial"/>
          <w:color w:val="000000"/>
          <w:sz w:val="20"/>
          <w:szCs w:val="20"/>
        </w:rPr>
      </w:pPr>
    </w:p>
    <w:p w:rsidR="00525A73" w:rsidRPr="00313ECB" w:rsidRDefault="00313ECB">
      <w:pPr>
        <w:numPr>
          <w:ilvl w:val="0"/>
          <w:numId w:val="2"/>
        </w:numPr>
        <w:snapToGrid w:val="0"/>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DO ENVIO DA PROPOSTA</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525A73" w:rsidRPr="00313ECB" w:rsidRDefault="00313ECB">
      <w:pPr>
        <w:numPr>
          <w:ilvl w:val="1"/>
          <w:numId w:val="2"/>
        </w:numPr>
        <w:snapToGrid w:val="0"/>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Todas as referências de tempo no Edital, no aviso e durante a sessão pública observarão o horário de Brasília – DF.</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licitante será responsável por todas as transações que forem efetuadas em seu nome no sistema eletrônico, assumindo como firmes e verdadeiras suas propostas e lances.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rPr>
        <w:t>Até a abertura da sessão, os licitantes poderão retirar ou substituir as propostas apresentadas.</w:t>
      </w:r>
    </w:p>
    <w:p w:rsidR="00525A73" w:rsidRPr="00313ECB" w:rsidRDefault="00313ECB">
      <w:pPr>
        <w:numPr>
          <w:ilvl w:val="1"/>
          <w:numId w:val="2"/>
        </w:numPr>
        <w:spacing w:before="120" w:after="120" w:line="276" w:lineRule="auto"/>
        <w:ind w:left="425" w:firstLine="0"/>
        <w:jc w:val="both"/>
        <w:rPr>
          <w:rFonts w:asciiTheme="minorHAnsi" w:hAnsiTheme="minorHAnsi" w:cs="Arial"/>
          <w:sz w:val="20"/>
          <w:szCs w:val="20"/>
        </w:rPr>
      </w:pPr>
      <w:r w:rsidRPr="00313ECB">
        <w:rPr>
          <w:rFonts w:asciiTheme="minorHAnsi" w:hAnsiTheme="minorHAnsi" w:cs="Arial"/>
          <w:sz w:val="20"/>
          <w:szCs w:val="20"/>
        </w:rPr>
        <w:t>O licitante deverá enviar sua proposta mediante o preenchimento, no sistema eletrônico, dos seguintes campos:</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r w:rsidRPr="00313ECB">
        <w:rPr>
          <w:rFonts w:asciiTheme="minorHAnsi" w:hAnsiTheme="minorHAnsi" w:cs="Arial"/>
          <w:color w:val="000000"/>
          <w:sz w:val="20"/>
          <w:szCs w:val="20"/>
        </w:rPr>
        <w:t xml:space="preserve"> </w:t>
      </w:r>
      <w:proofErr w:type="gramStart"/>
      <w:r w:rsidRPr="00313ECB">
        <w:rPr>
          <w:rFonts w:asciiTheme="minorHAnsi" w:hAnsiTheme="minorHAnsi" w:cs="Arial"/>
          <w:color w:val="000000"/>
          <w:sz w:val="20"/>
          <w:szCs w:val="20"/>
        </w:rPr>
        <w:t>valor</w:t>
      </w:r>
      <w:proofErr w:type="gramEnd"/>
      <w:r w:rsidRPr="00313ECB">
        <w:rPr>
          <w:rFonts w:asciiTheme="minorHAnsi" w:hAnsiTheme="minorHAnsi" w:cs="Arial"/>
          <w:color w:val="000000"/>
          <w:sz w:val="20"/>
          <w:szCs w:val="20"/>
        </w:rPr>
        <w:t xml:space="preserve"> unitário do item</w:t>
      </w:r>
      <w:r w:rsidRPr="00313ECB">
        <w:rPr>
          <w:rFonts w:asciiTheme="minorHAnsi" w:hAnsiTheme="minorHAnsi" w:cs="Arial"/>
          <w:bCs/>
          <w:color w:val="000000"/>
          <w:sz w:val="20"/>
          <w:szCs w:val="20"/>
        </w:rPr>
        <w:t>;</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a</w:t>
      </w:r>
      <w:proofErr w:type="gramEnd"/>
      <w:r w:rsidRPr="00313ECB">
        <w:rPr>
          <w:rFonts w:asciiTheme="minorHAnsi" w:hAnsiTheme="minorHAnsi" w:cs="Arial"/>
          <w:color w:val="000000"/>
          <w:sz w:val="20"/>
          <w:szCs w:val="20"/>
        </w:rPr>
        <w:t xml:space="preserve"> quantidade de unidades, observada a quantidade mínima fixada no Termo de Referência para cada item;</w:t>
      </w:r>
    </w:p>
    <w:p w:rsidR="00525A73" w:rsidRPr="00313ECB" w:rsidRDefault="00313ECB">
      <w:pPr>
        <w:numPr>
          <w:ilvl w:val="3"/>
          <w:numId w:val="2"/>
        </w:numPr>
        <w:spacing w:before="120" w:after="120" w:line="276" w:lineRule="auto"/>
        <w:ind w:left="1701" w:firstLine="0"/>
        <w:jc w:val="both"/>
        <w:rPr>
          <w:rFonts w:asciiTheme="minorHAnsi" w:hAnsiTheme="minorHAnsi" w:cs="Arial"/>
          <w:color w:val="000000"/>
          <w:sz w:val="20"/>
          <w:szCs w:val="20"/>
        </w:rPr>
      </w:pPr>
      <w:proofErr w:type="gramStart"/>
      <w:r w:rsidRPr="00313ECB">
        <w:rPr>
          <w:rFonts w:asciiTheme="minorHAnsi" w:hAnsiTheme="minorHAnsi" w:cs="Arial"/>
          <w:color w:val="000000"/>
          <w:sz w:val="20"/>
          <w:szCs w:val="20"/>
        </w:rPr>
        <w:t>em</w:t>
      </w:r>
      <w:proofErr w:type="gramEnd"/>
      <w:r w:rsidRPr="00313ECB">
        <w:rPr>
          <w:rFonts w:asciiTheme="minorHAnsi" w:hAnsiTheme="minorHAnsi" w:cs="Arial"/>
          <w:color w:val="000000"/>
          <w:sz w:val="20"/>
          <w:szCs w:val="20"/>
        </w:rPr>
        <w:t xml:space="preserve"> não havendo quantidade mínima fixada, deverá ser cotada a quantidade total prevista para o item.</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iCs/>
          <w:color w:val="000000"/>
          <w:sz w:val="20"/>
          <w:szCs w:val="20"/>
        </w:rPr>
        <w:t xml:space="preserve">Marca;/Fabricante;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iCs/>
          <w:color w:val="000000"/>
          <w:sz w:val="20"/>
          <w:szCs w:val="20"/>
        </w:rPr>
        <w:t>Descrição detalhada do objeto: indicando, marca/ fabricante, e demais especificações necessárias a especificação completa do objeto ofertado, no espaço “detalhamento do objeto ofertado” do sistema comprasnet, disponibilizasse 5.000 (cinco mil) caracteres para essa finalidade. O não atendimento desta obrigatoriedade poderá ensejar a desclassificação da proposta</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Todas as especificações do objeto contidas na proposta vinculam o fornecedor registrado.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O prazo de validade da proposta não será inferior a 60</w:t>
      </w:r>
      <w:r w:rsidRPr="00313ECB">
        <w:rPr>
          <w:rFonts w:asciiTheme="minorHAnsi" w:hAnsiTheme="minorHAnsi" w:cs="Arial"/>
          <w:color w:val="FF0000"/>
          <w:sz w:val="20"/>
          <w:szCs w:val="20"/>
        </w:rPr>
        <w:t xml:space="preserve"> </w:t>
      </w:r>
      <w:r w:rsidRPr="00313ECB">
        <w:rPr>
          <w:rFonts w:asciiTheme="minorHAnsi" w:hAnsiTheme="minorHAnsi" w:cs="Arial"/>
          <w:bCs/>
          <w:iCs/>
          <w:color w:val="000000"/>
          <w:sz w:val="20"/>
          <w:szCs w:val="20"/>
        </w:rPr>
        <w:t>(sessenta) dias</w:t>
      </w:r>
      <w:r w:rsidRPr="00313ECB">
        <w:rPr>
          <w:rFonts w:asciiTheme="minorHAnsi" w:hAnsiTheme="minorHAnsi" w:cs="Arial"/>
          <w:color w:val="000000"/>
          <w:sz w:val="20"/>
          <w:szCs w:val="20"/>
        </w:rPr>
        <w:t xml:space="preserve">, a contar da data de sua apresentação. </w:t>
      </w:r>
    </w:p>
    <w:p w:rsidR="00525A73" w:rsidRPr="00313ECB" w:rsidRDefault="00525A73">
      <w:pPr>
        <w:pStyle w:val="PargrafodaLista"/>
        <w:spacing w:before="120" w:after="120" w:line="276" w:lineRule="auto"/>
        <w:ind w:left="1713"/>
        <w:jc w:val="both"/>
        <w:rPr>
          <w:rFonts w:asciiTheme="minorHAnsi" w:hAnsiTheme="minorHAnsi" w:cs="Arial"/>
          <w:b/>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DAS PROPOSTAS E FORMULAÇÃO DE LANCES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A abertura da presente licitação dar-se-á em sessão pública, por meio de sistema eletrônico, na data, horário e local indicados neste Edital.</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desclassificação será sempre fundamentada e registrada no sistema, com acompanhamento em tempo real por todos os participantes.</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não desclassificação da proposta não impede o seu julgamento definitivo em sentido contrário, levado a efeito na fase de aceitação.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O sistema ordenará automaticamente as propostas classificadas, sendo que somente estas participarão da fase de lances.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sistema disponibilizará campo próprio para troca de mensagem entre o Pregoeiro e os licitantes.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lance deverá ser ofertado pelo valor unitário.</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Os licitantes poderão oferecer lances sucessivos, observando o horário fixado para abertura da sessão e as regras estabelecidas no Edital.</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intervalo mínimo de diferença de valores entre os lances, que incidirá tanto em relação aos lances intermediários quanto em relação à proposta que cobrir a melhor oferta deverá ser de R$ 0,01 (um centavo).</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Em caso de falha no sistema, os lances em desacordo com a norma deverão ser desconsiderados pelo pregoeiro, devendo a ocorrência ser comunicada imediatamente à Secretaria de Logística e Tecnologia da Informação.</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Na hipótese do subitem anterior, a ocorrência será registrada em campo próprio do sistema.</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licitante somente poderá oferecer lance inferior ao último por ele ofertado e registrado pelo sistema. </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intervalo entre os lances enviados pelo mesmo licitante não poderá ser inferior a vinte (20) segundos e o intervalo entre lances não poderá ser inferior a três (3) segundos.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Não serão aceitos dois ou mais lances de mesmo valor, prevalecendo aquele que for recebido e registrado em primeiro lugar.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Durante o transcurso da sessão pública, os licitantes serão </w:t>
      </w:r>
      <w:r w:rsidRPr="00313ECB">
        <w:rPr>
          <w:rFonts w:asciiTheme="minorHAnsi" w:hAnsiTheme="minorHAnsi" w:cs="Arial"/>
          <w:color w:val="000000"/>
          <w:sz w:val="20"/>
          <w:szCs w:val="20"/>
          <w:lang w:eastAsia="en-US"/>
        </w:rPr>
        <w:t>informados</w:t>
      </w:r>
      <w:r w:rsidRPr="00313ECB">
        <w:rPr>
          <w:rFonts w:asciiTheme="minorHAnsi" w:hAnsiTheme="minorHAnsi" w:cs="Arial"/>
          <w:color w:val="000000"/>
          <w:sz w:val="20"/>
          <w:szCs w:val="20"/>
        </w:rPr>
        <w:t xml:space="preserve">, em tempo real, do valor do menor lance registrado, vedada a identificação do licitante.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No caso de desconexão com o Pregoeiro, no decorrer da etapa competitiva do Pregão, o sistema eletrônico poderá permanecer acessível aos licitantes para a recepção dos lances.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Se a desconexão perdurar por tempo superior a 10 (dez) minutos, a sessão será suspensa e terá reinício somente após comunicação expressa do Pregoeiro aos participantes.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olor w:val="000000"/>
        </w:rPr>
      </w:pPr>
      <w:r w:rsidRPr="00313ECB">
        <w:rPr>
          <w:rFonts w:asciiTheme="minorHAnsi" w:hAnsiTheme="minorHAnsi" w:cs="Arial"/>
          <w:color w:val="000000"/>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Nesta situação, a proposta beneficiada pela aplicação da margem de preferência tornar-se-á a proposta classificada em primeiro lugar.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rsidR="00525A73" w:rsidRPr="00313ECB" w:rsidRDefault="00313ECB">
      <w:pPr>
        <w:numPr>
          <w:ilvl w:val="1"/>
          <w:numId w:val="2"/>
        </w:numPr>
        <w:spacing w:before="120" w:after="120" w:line="276" w:lineRule="auto"/>
        <w:ind w:left="425" w:firstLine="0"/>
        <w:jc w:val="both"/>
        <w:rPr>
          <w:rFonts w:asciiTheme="minorHAnsi" w:hAnsiTheme="minorHAnsi" w:cs="Arial"/>
          <w:sz w:val="20"/>
          <w:szCs w:val="20"/>
        </w:rPr>
      </w:pPr>
      <w:r w:rsidRPr="00313ECB">
        <w:rPr>
          <w:rFonts w:asciiTheme="minorHAnsi" w:hAnsiTheme="minorHAnsi" w:cs="Arial"/>
          <w:sz w:val="20"/>
          <w:szCs w:val="20"/>
        </w:rPr>
        <w:t>Ao final do procedimento, após o encerramento da etapa competitiva, os licitantes poderão reduzir seus preços ao valor da proposta do licitante mais bem classificado.</w:t>
      </w:r>
    </w:p>
    <w:p w:rsidR="00525A73" w:rsidRPr="00313ECB" w:rsidRDefault="00313ECB">
      <w:pPr>
        <w:numPr>
          <w:ilvl w:val="2"/>
          <w:numId w:val="2"/>
        </w:numPr>
        <w:spacing w:before="120" w:after="120" w:line="276" w:lineRule="auto"/>
        <w:ind w:left="1134" w:firstLine="0"/>
        <w:jc w:val="both"/>
        <w:rPr>
          <w:rFonts w:asciiTheme="minorHAnsi" w:hAnsiTheme="minorHAnsi" w:cs="Arial"/>
          <w:sz w:val="20"/>
          <w:szCs w:val="20"/>
        </w:rPr>
      </w:pPr>
      <w:r w:rsidRPr="00313ECB">
        <w:rPr>
          <w:rFonts w:asciiTheme="minorHAnsi" w:hAnsiTheme="minorHAnsi" w:cs="Arial"/>
          <w:sz w:val="20"/>
          <w:szCs w:val="20"/>
        </w:rPr>
        <w:t>A apresentação de novas propostas na forma deste item não prejudicará o resultado do certame em relação ao licitante mais bem classificado.</w:t>
      </w:r>
    </w:p>
    <w:p w:rsidR="00525A73" w:rsidRPr="00313ECB" w:rsidRDefault="00525A73">
      <w:pPr>
        <w:spacing w:after="120" w:line="276" w:lineRule="auto"/>
        <w:ind w:right="-17"/>
        <w:jc w:val="both"/>
        <w:rPr>
          <w:rFonts w:asciiTheme="minorHAnsi" w:hAnsiTheme="minorHAnsi" w:cs="Arial"/>
          <w:color w:val="000000"/>
          <w:sz w:val="20"/>
          <w:szCs w:val="20"/>
        </w:rPr>
      </w:pPr>
    </w:p>
    <w:p w:rsidR="00525A73" w:rsidRPr="00313ECB" w:rsidRDefault="00313ECB">
      <w:pPr>
        <w:numPr>
          <w:ilvl w:val="0"/>
          <w:numId w:val="2"/>
        </w:numPr>
        <w:spacing w:after="120" w:line="276" w:lineRule="auto"/>
        <w:ind w:right="-17"/>
        <w:jc w:val="both"/>
        <w:rPr>
          <w:rFonts w:asciiTheme="minorHAnsi" w:hAnsiTheme="minorHAnsi" w:cs="Arial"/>
          <w:sz w:val="20"/>
          <w:szCs w:val="20"/>
          <w:lang w:eastAsia="en-US"/>
        </w:rPr>
      </w:pPr>
      <w:r w:rsidRPr="00313ECB">
        <w:rPr>
          <w:rFonts w:asciiTheme="minorHAnsi" w:hAnsiTheme="minorHAnsi" w:cs="Arial"/>
          <w:b/>
          <w:bCs/>
          <w:color w:val="000000"/>
          <w:sz w:val="20"/>
          <w:szCs w:val="20"/>
          <w:lang w:eastAsia="en-US"/>
        </w:rPr>
        <w:t>DA ACEITABILIDADE DA PROPOSTA VENCEDORA.</w:t>
      </w:r>
    </w:p>
    <w:p w:rsidR="00525A73" w:rsidRPr="00313ECB" w:rsidRDefault="00313ECB">
      <w:pPr>
        <w:numPr>
          <w:ilvl w:val="1"/>
          <w:numId w:val="2"/>
        </w:numPr>
        <w:spacing w:before="120" w:after="120" w:line="276" w:lineRule="auto"/>
        <w:ind w:left="425" w:firstLine="0"/>
        <w:jc w:val="both"/>
        <w:rPr>
          <w:rFonts w:asciiTheme="minorHAnsi" w:hAnsiTheme="minorHAnsi" w:cs="Arial"/>
          <w:sz w:val="20"/>
          <w:szCs w:val="20"/>
          <w:lang w:eastAsia="en-US"/>
        </w:rPr>
      </w:pPr>
      <w:r w:rsidRPr="00313ECB">
        <w:rPr>
          <w:rFonts w:asciiTheme="minorHAnsi" w:hAnsiTheme="minorHAnsi" w:cs="Arial"/>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525A73" w:rsidRPr="00313ECB" w:rsidRDefault="00313ECB">
      <w:pPr>
        <w:pStyle w:val="PargrafodaLista"/>
        <w:spacing w:before="120" w:after="120" w:line="276" w:lineRule="auto"/>
        <w:ind w:left="425"/>
        <w:jc w:val="both"/>
        <w:rPr>
          <w:rFonts w:asciiTheme="minorHAnsi" w:hAnsiTheme="minorHAnsi" w:cs="Arial"/>
          <w:bCs/>
          <w:color w:val="000000"/>
          <w:sz w:val="20"/>
          <w:szCs w:val="20"/>
        </w:rPr>
      </w:pPr>
      <w:r w:rsidRPr="00313ECB">
        <w:rPr>
          <w:rFonts w:asciiTheme="minorHAnsi" w:hAnsiTheme="minorHAnsi" w:cs="Arial"/>
          <w:bCs/>
          <w:color w:val="000000"/>
          <w:sz w:val="20"/>
          <w:szCs w:val="20"/>
        </w:rPr>
        <w:t>8.2</w:t>
      </w:r>
      <w:r w:rsidRPr="00313ECB">
        <w:rPr>
          <w:rFonts w:asciiTheme="minorHAnsi" w:hAnsiTheme="minorHAnsi" w:cs="Arial"/>
          <w:bCs/>
          <w:color w:val="000000"/>
          <w:sz w:val="20"/>
          <w:szCs w:val="20"/>
        </w:rPr>
        <w:tab/>
      </w:r>
      <w:r w:rsidRPr="00313ECB">
        <w:rPr>
          <w:rFonts w:asciiTheme="minorHAnsi" w:hAnsiTheme="minorHAnsi" w:cs="Arial"/>
          <w:bCs/>
          <w:color w:val="000000"/>
          <w:sz w:val="20"/>
          <w:szCs w:val="20"/>
        </w:rPr>
        <w:tab/>
        <w:t>Será desclassificada a proposta ou o lance vencedor com valor superior ao preço máximo fixado ou que apresentar preço manifestamente inexequível.</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525A73" w:rsidRPr="00313ECB" w:rsidRDefault="00313ECB">
      <w:pPr>
        <w:numPr>
          <w:ilvl w:val="1"/>
          <w:numId w:val="2"/>
        </w:numPr>
        <w:spacing w:before="120" w:after="120" w:line="276" w:lineRule="auto"/>
        <w:ind w:left="425" w:firstLine="0"/>
        <w:jc w:val="both"/>
        <w:rPr>
          <w:rFonts w:asciiTheme="minorHAnsi" w:hAnsiTheme="minorHAnsi" w:cs="Arial"/>
          <w:sz w:val="20"/>
          <w:szCs w:val="20"/>
        </w:rPr>
      </w:pPr>
      <w:r w:rsidRPr="00313ECB">
        <w:rPr>
          <w:rFonts w:asciiTheme="minorHAnsi" w:hAnsiTheme="minorHAnsi" w:cs="Arial"/>
          <w:sz w:val="20"/>
          <w:szCs w:val="20"/>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 xml:space="preserve">O Pregoeiro poderá convocar o licitante para enviar documento digital, por meio de funcionalidade disponível no sistema, estabelecendo no “chat” prazo de 02 (duas horas) para tanto, sob pena de não aceitação da proposta. </w:t>
      </w:r>
    </w:p>
    <w:p w:rsidR="00525A73" w:rsidRPr="00313ECB" w:rsidRDefault="00313ECB">
      <w:pPr>
        <w:numPr>
          <w:ilvl w:val="2"/>
          <w:numId w:val="2"/>
        </w:numPr>
        <w:tabs>
          <w:tab w:val="left" w:pos="1440"/>
        </w:tabs>
        <w:snapToGrid w:val="0"/>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313ECB">
        <w:rPr>
          <w:rFonts w:asciiTheme="minorHAnsi" w:hAnsiTheme="minorHAnsi" w:cs="Arial"/>
          <w:color w:val="000000"/>
          <w:sz w:val="20"/>
          <w:szCs w:val="20"/>
          <w:lang w:eastAsia="en-US"/>
        </w:rPr>
        <w:t>xls</w:t>
      </w:r>
      <w:proofErr w:type="spellEnd"/>
      <w:r w:rsidRPr="00313ECB">
        <w:rPr>
          <w:rFonts w:asciiTheme="minorHAnsi" w:hAnsiTheme="minorHAnsi" w:cs="Arial"/>
          <w:color w:val="000000"/>
          <w:sz w:val="20"/>
          <w:szCs w:val="20"/>
          <w:lang w:eastAsia="en-US"/>
        </w:rPr>
        <w:t>, .</w:t>
      </w:r>
      <w:proofErr w:type="spellStart"/>
      <w:r w:rsidRPr="00313ECB">
        <w:rPr>
          <w:rFonts w:asciiTheme="minorHAnsi" w:hAnsiTheme="minorHAnsi" w:cs="Arial"/>
          <w:color w:val="000000"/>
          <w:sz w:val="20"/>
          <w:szCs w:val="20"/>
          <w:lang w:eastAsia="en-US"/>
        </w:rPr>
        <w:t>doc</w:t>
      </w:r>
      <w:proofErr w:type="spellEnd"/>
      <w:r w:rsidRPr="00313ECB">
        <w:rPr>
          <w:rFonts w:asciiTheme="minorHAnsi" w:hAnsiTheme="minorHAnsi" w:cs="Arial"/>
          <w:color w:val="000000"/>
          <w:sz w:val="20"/>
          <w:szCs w:val="20"/>
          <w:lang w:eastAsia="en-US"/>
        </w:rPr>
        <w:t>, .</w:t>
      </w:r>
      <w:proofErr w:type="spellStart"/>
      <w:r w:rsidRPr="00313ECB">
        <w:rPr>
          <w:rFonts w:asciiTheme="minorHAnsi" w:hAnsiTheme="minorHAnsi" w:cs="Arial"/>
          <w:color w:val="000000"/>
          <w:sz w:val="20"/>
          <w:szCs w:val="20"/>
          <w:lang w:eastAsia="en-US"/>
        </w:rPr>
        <w:t>jpg</w:t>
      </w:r>
      <w:proofErr w:type="spellEnd"/>
      <w:r w:rsidRPr="00313ECB">
        <w:rPr>
          <w:rFonts w:asciiTheme="minorHAnsi" w:hAnsiTheme="minorHAnsi" w:cs="Arial"/>
          <w:color w:val="000000"/>
          <w:sz w:val="20"/>
          <w:szCs w:val="20"/>
          <w:lang w:eastAsia="en-US"/>
        </w:rPr>
        <w:t>, e .</w:t>
      </w:r>
      <w:proofErr w:type="spellStart"/>
      <w:r w:rsidRPr="00313ECB">
        <w:rPr>
          <w:rFonts w:asciiTheme="minorHAnsi" w:hAnsiTheme="minorHAnsi" w:cs="Arial"/>
          <w:color w:val="000000"/>
          <w:sz w:val="20"/>
          <w:szCs w:val="20"/>
          <w:lang w:eastAsia="en-US"/>
        </w:rPr>
        <w:t>pdf</w:t>
      </w:r>
      <w:proofErr w:type="spellEnd"/>
      <w:r w:rsidRPr="00313ECB">
        <w:rPr>
          <w:rFonts w:asciiTheme="minorHAnsi" w:hAnsiTheme="minorHAnsi" w:cs="Arial"/>
          <w:color w:val="000000"/>
          <w:sz w:val="20"/>
          <w:szCs w:val="20"/>
          <w:lang w:eastAsia="en-US"/>
        </w:rPr>
        <w:t xml:space="preserve">. Caso haja necessidade de compactação de arquivos, ou conjunto de arquivos, poderão ser usadas extensões ".zip" e </w:t>
      </w:r>
      <w:proofErr w:type="gramStart"/>
      <w:r w:rsidRPr="00313ECB">
        <w:rPr>
          <w:rFonts w:asciiTheme="minorHAnsi" w:hAnsiTheme="minorHAnsi" w:cs="Arial"/>
          <w:color w:val="000000"/>
          <w:sz w:val="20"/>
          <w:szCs w:val="20"/>
          <w:lang w:eastAsia="en-US"/>
        </w:rPr>
        <w:t>".</w:t>
      </w:r>
      <w:proofErr w:type="spellStart"/>
      <w:r w:rsidRPr="00313ECB">
        <w:rPr>
          <w:rFonts w:asciiTheme="minorHAnsi" w:hAnsiTheme="minorHAnsi" w:cs="Arial"/>
          <w:color w:val="000000"/>
          <w:sz w:val="20"/>
          <w:szCs w:val="20"/>
          <w:lang w:eastAsia="en-US"/>
        </w:rPr>
        <w:t>rar</w:t>
      </w:r>
      <w:proofErr w:type="spellEnd"/>
      <w:proofErr w:type="gramEnd"/>
      <w:r w:rsidRPr="00313ECB">
        <w:rPr>
          <w:rFonts w:asciiTheme="minorHAnsi" w:hAnsiTheme="minorHAnsi" w:cs="Arial"/>
          <w:color w:val="000000"/>
          <w:sz w:val="20"/>
          <w:szCs w:val="20"/>
          <w:lang w:eastAsia="en-US"/>
        </w:rPr>
        <w:t>", não sendo estas últimas, extensões de aplicativos, mas de compactadores de arquivos. Anexos enviados com arquivos incompatíveis com o nosso sistema não serão aceitos.</w:t>
      </w:r>
    </w:p>
    <w:p w:rsidR="00525A73" w:rsidRPr="00313ECB" w:rsidRDefault="00313ECB">
      <w:pPr>
        <w:numPr>
          <w:ilvl w:val="2"/>
          <w:numId w:val="2"/>
        </w:numPr>
        <w:tabs>
          <w:tab w:val="left" w:pos="1440"/>
        </w:tabs>
        <w:snapToGrid w:val="0"/>
        <w:spacing w:before="120" w:after="120" w:line="276" w:lineRule="auto"/>
        <w:ind w:left="1134"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525A73" w:rsidRPr="00313ECB" w:rsidRDefault="00313ECB">
      <w:pPr>
        <w:numPr>
          <w:ilvl w:val="3"/>
          <w:numId w:val="2"/>
        </w:numPr>
        <w:snapToGrid w:val="0"/>
        <w:spacing w:before="120" w:after="120" w:line="276" w:lineRule="auto"/>
        <w:ind w:left="1701" w:firstLine="0"/>
        <w:jc w:val="both"/>
        <w:rPr>
          <w:rFonts w:asciiTheme="minorHAnsi" w:hAnsiTheme="minorHAnsi"/>
        </w:rPr>
      </w:pPr>
      <w:r w:rsidRPr="00313ECB">
        <w:rPr>
          <w:rFonts w:asciiTheme="minorHAnsi" w:hAnsiTheme="minorHAnsi" w:cs="Arial"/>
          <w:color w:val="000000"/>
          <w:sz w:val="20"/>
          <w:szCs w:val="20"/>
          <w:lang w:eastAsia="en-US"/>
        </w:rPr>
        <w:t xml:space="preserve">O prazo estabelecido pelo Pregoeiro poderá ser prorrogado por </w:t>
      </w:r>
      <w:r w:rsidRPr="00313ECB">
        <w:rPr>
          <w:rFonts w:asciiTheme="minorHAnsi" w:hAnsiTheme="minorHAnsi" w:cs="Arial"/>
          <w:sz w:val="20"/>
          <w:szCs w:val="20"/>
        </w:rPr>
        <w:t>solicitação escrita e justificada do licitante, formulada antes de</w:t>
      </w:r>
      <w:r w:rsidRPr="00313ECB">
        <w:rPr>
          <w:rFonts w:asciiTheme="minorHAnsi" w:hAnsiTheme="minorHAnsi" w:cs="Arial"/>
          <w:sz w:val="20"/>
          <w:szCs w:val="20"/>
          <w:lang w:eastAsia="en-US"/>
        </w:rPr>
        <w:t xml:space="preserve"> </w:t>
      </w:r>
      <w:r w:rsidRPr="00313ECB">
        <w:rPr>
          <w:rFonts w:asciiTheme="minorHAnsi" w:hAnsiTheme="minorHAnsi" w:cs="Arial"/>
          <w:color w:val="000000"/>
          <w:sz w:val="20"/>
          <w:szCs w:val="20"/>
          <w:lang w:eastAsia="en-US"/>
        </w:rPr>
        <w:t xml:space="preserve">findo o prazo estabelecido, e formalmente aceita pelo Pregoeiro. </w:t>
      </w:r>
    </w:p>
    <w:p w:rsidR="00525A73" w:rsidRPr="00313ECB" w:rsidRDefault="00313ECB">
      <w:pPr>
        <w:numPr>
          <w:ilvl w:val="1"/>
          <w:numId w:val="2"/>
        </w:numPr>
        <w:tabs>
          <w:tab w:val="left" w:pos="1440"/>
        </w:tabs>
        <w:snapToGrid w:val="0"/>
        <w:spacing w:before="120" w:after="120" w:line="276" w:lineRule="auto"/>
        <w:ind w:left="425" w:firstLine="0"/>
        <w:jc w:val="both"/>
        <w:rPr>
          <w:rFonts w:asciiTheme="minorHAnsi" w:hAnsiTheme="minorHAnsi"/>
          <w:color w:val="000000"/>
        </w:rPr>
      </w:pPr>
      <w:r w:rsidRPr="00313ECB">
        <w:rPr>
          <w:rFonts w:asciiTheme="minorHAnsi" w:hAnsiTheme="minorHAnsi" w:cs="Arial"/>
          <w:bCs/>
          <w:color w:val="000000"/>
          <w:sz w:val="20"/>
          <w:szCs w:val="20"/>
        </w:rPr>
        <w:lastRenderedPageBreak/>
        <w:t xml:space="preserve">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w:t>
      </w:r>
      <w:proofErr w:type="spellStart"/>
      <w:r w:rsidRPr="00313ECB">
        <w:rPr>
          <w:rFonts w:asciiTheme="minorHAnsi" w:hAnsiTheme="minorHAnsi" w:cs="Arial"/>
          <w:bCs/>
          <w:color w:val="000000"/>
          <w:sz w:val="20"/>
          <w:szCs w:val="20"/>
        </w:rPr>
        <w:t>art</w:t>
      </w:r>
      <w:proofErr w:type="spellEnd"/>
      <w:r w:rsidRPr="00313ECB">
        <w:rPr>
          <w:rFonts w:asciiTheme="minorHAnsi" w:hAnsiTheme="minorHAnsi" w:cs="Arial"/>
          <w:bCs/>
          <w:color w:val="000000"/>
          <w:sz w:val="20"/>
          <w:szCs w:val="20"/>
        </w:rPr>
        <w:t xml:space="preserve"> 3</w:t>
      </w:r>
      <w:r w:rsidRPr="00313ECB">
        <w:rPr>
          <w:rFonts w:asciiTheme="minorHAnsi" w:hAnsiTheme="minorHAnsi" w:cs="Arial"/>
          <w:bCs/>
          <w:color w:val="000000"/>
          <w:sz w:val="20"/>
          <w:szCs w:val="20"/>
          <w:vertAlign w:val="superscript"/>
        </w:rPr>
        <w:t>o</w:t>
      </w:r>
      <w:r w:rsidRPr="00313ECB">
        <w:rPr>
          <w:rFonts w:asciiTheme="minorHAnsi" w:hAnsiTheme="minorHAnsi" w:cs="Arial"/>
          <w:bCs/>
          <w:color w:val="000000"/>
          <w:sz w:val="20"/>
          <w:szCs w:val="20"/>
        </w:rPr>
        <w:t xml:space="preserve"> e §§ 5</w:t>
      </w:r>
      <w:r w:rsidRPr="00313ECB">
        <w:rPr>
          <w:rFonts w:asciiTheme="minorHAnsi" w:hAnsiTheme="minorHAnsi" w:cs="Arial"/>
          <w:bCs/>
          <w:color w:val="000000"/>
          <w:sz w:val="20"/>
          <w:szCs w:val="20"/>
          <w:vertAlign w:val="superscript"/>
        </w:rPr>
        <w:t>o</w:t>
      </w:r>
      <w:r w:rsidRPr="00313ECB">
        <w:rPr>
          <w:rFonts w:asciiTheme="minorHAnsi" w:hAnsiTheme="minorHAnsi" w:cs="Arial"/>
          <w:bCs/>
          <w:color w:val="000000"/>
          <w:sz w:val="20"/>
          <w:szCs w:val="20"/>
        </w:rPr>
        <w:t xml:space="preserve"> a 8</w:t>
      </w:r>
      <w:r w:rsidRPr="00313ECB">
        <w:rPr>
          <w:rFonts w:asciiTheme="minorHAnsi" w:hAnsiTheme="minorHAnsi" w:cs="Arial"/>
          <w:bCs/>
          <w:color w:val="000000"/>
          <w:sz w:val="20"/>
          <w:szCs w:val="20"/>
          <w:vertAlign w:val="superscript"/>
        </w:rPr>
        <w:t>o</w:t>
      </w:r>
      <w:r w:rsidRPr="00313ECB">
        <w:rPr>
          <w:rFonts w:asciiTheme="minorHAnsi" w:hAnsiTheme="minorHAnsi" w:cs="Arial"/>
          <w:bCs/>
          <w:color w:val="000000"/>
          <w:sz w:val="20"/>
          <w:szCs w:val="20"/>
        </w:rPr>
        <w:t xml:space="preserve"> da Lei no 8.666 de 1993, Decreto no 7.174, de 2010, regulamentando o art. 3</w:t>
      </w:r>
      <w:r w:rsidRPr="00313ECB">
        <w:rPr>
          <w:rFonts w:asciiTheme="minorHAnsi" w:hAnsiTheme="minorHAnsi" w:cs="Arial"/>
          <w:bCs/>
          <w:color w:val="000000"/>
          <w:sz w:val="20"/>
          <w:szCs w:val="20"/>
          <w:vertAlign w:val="superscript"/>
        </w:rPr>
        <w:t>o</w:t>
      </w:r>
      <w:r w:rsidRPr="00313ECB">
        <w:rPr>
          <w:rFonts w:asciiTheme="minorHAnsi" w:hAnsiTheme="minorHAnsi" w:cs="Arial"/>
          <w:bCs/>
          <w:color w:val="000000"/>
          <w:sz w:val="20"/>
          <w:szCs w:val="20"/>
        </w:rPr>
        <w:t xml:space="preserve"> da Lei no 8.248, de 1991, e demais vigentes.</w:t>
      </w:r>
    </w:p>
    <w:p w:rsidR="00525A73" w:rsidRPr="00313ECB" w:rsidRDefault="00313ECB">
      <w:pPr>
        <w:numPr>
          <w:ilvl w:val="1"/>
          <w:numId w:val="2"/>
        </w:numPr>
        <w:tabs>
          <w:tab w:val="left" w:pos="1440"/>
        </w:tabs>
        <w:snapToGrid w:val="0"/>
        <w:spacing w:before="120" w:after="120" w:line="276" w:lineRule="auto"/>
        <w:ind w:left="425" w:firstLine="0"/>
        <w:jc w:val="both"/>
        <w:rPr>
          <w:rFonts w:asciiTheme="minorHAnsi" w:hAnsiTheme="minorHAnsi" w:cs="Arial"/>
          <w:bCs/>
          <w:i/>
          <w:iCs/>
          <w:color w:val="FF0000"/>
          <w:sz w:val="20"/>
          <w:szCs w:val="20"/>
        </w:rPr>
      </w:pPr>
      <w:r w:rsidRPr="00313ECB">
        <w:rPr>
          <w:rFonts w:asciiTheme="minorHAnsi" w:hAnsiTheme="minorHAnsi" w:cs="Arial"/>
          <w:bCs/>
          <w:color w:val="000000"/>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525A73" w:rsidRPr="00313ECB" w:rsidRDefault="00313ECB">
      <w:pPr>
        <w:numPr>
          <w:ilvl w:val="2"/>
          <w:numId w:val="2"/>
        </w:numPr>
        <w:tabs>
          <w:tab w:val="left" w:pos="1440"/>
        </w:tabs>
        <w:snapToGrid w:val="0"/>
        <w:spacing w:before="120" w:after="120" w:line="276" w:lineRule="auto"/>
        <w:ind w:left="1134" w:firstLine="0"/>
        <w:jc w:val="both"/>
        <w:rPr>
          <w:rFonts w:asciiTheme="minorHAnsi" w:hAnsiTheme="minorHAnsi" w:cs="Arial"/>
          <w:bCs/>
          <w:i/>
          <w:iCs/>
          <w:color w:val="FF0000"/>
          <w:sz w:val="20"/>
          <w:szCs w:val="20"/>
        </w:rPr>
      </w:pPr>
      <w:r w:rsidRPr="00313ECB">
        <w:rPr>
          <w:rFonts w:asciiTheme="minorHAnsi" w:hAnsiTheme="minorHAnsi" w:cs="Arial"/>
          <w:bCs/>
          <w:color w:val="000000"/>
          <w:sz w:val="20"/>
          <w:szCs w:val="20"/>
        </w:rPr>
        <w:t>Nessa hipótese, bem como em caso de inabilitação do licitante, as propostas serão reclassificadas, para fins de nova aplicação da margem de preferência.</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iCs/>
          <w:color w:val="000000"/>
          <w:sz w:val="20"/>
          <w:szCs w:val="20"/>
        </w:rPr>
        <w:t>Se a proposta ou lance vencedor for desclassificado, o Pregoeiro examinará a proposta ou lance subsequente, e, assim sucessivamente, na ordem de classificação.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Havendo necessidade, o Pregoeiro suspenderá a sessão, informando no “</w:t>
      </w:r>
      <w:r w:rsidRPr="00313ECB">
        <w:rPr>
          <w:rFonts w:asciiTheme="minorHAnsi" w:hAnsiTheme="minorHAnsi" w:cs="Arial"/>
          <w:i/>
          <w:color w:val="000000"/>
          <w:sz w:val="20"/>
          <w:szCs w:val="20"/>
          <w:lang w:eastAsia="en-US"/>
        </w:rPr>
        <w:t>chat</w:t>
      </w:r>
      <w:r w:rsidRPr="00313ECB">
        <w:rPr>
          <w:rFonts w:asciiTheme="minorHAnsi" w:hAnsiTheme="minorHAnsi" w:cs="Arial"/>
          <w:color w:val="000000"/>
          <w:sz w:val="20"/>
          <w:szCs w:val="20"/>
          <w:lang w:eastAsia="en-US"/>
        </w:rPr>
        <w:t>” a nova data e horário para a continuidade da mesma.</w:t>
      </w:r>
    </w:p>
    <w:p w:rsidR="00525A73" w:rsidRPr="00313ECB" w:rsidRDefault="00313ECB">
      <w:pPr>
        <w:numPr>
          <w:ilvl w:val="1"/>
          <w:numId w:val="2"/>
        </w:numPr>
        <w:spacing w:before="120" w:after="120" w:line="276" w:lineRule="auto"/>
        <w:ind w:left="425" w:firstLine="0"/>
        <w:jc w:val="both"/>
        <w:rPr>
          <w:rFonts w:asciiTheme="minorHAnsi" w:hAnsiTheme="minorHAnsi" w:cs="Arial"/>
          <w:sz w:val="20"/>
          <w:szCs w:val="20"/>
        </w:rPr>
      </w:pPr>
      <w:r w:rsidRPr="00313ECB">
        <w:rPr>
          <w:rFonts w:asciiTheme="minorHAnsi" w:hAnsiTheme="minorHAnsi"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525A73" w:rsidRPr="00313ECB" w:rsidRDefault="00313ECB">
      <w:pPr>
        <w:numPr>
          <w:ilvl w:val="2"/>
          <w:numId w:val="2"/>
        </w:numPr>
        <w:spacing w:before="120" w:after="120" w:line="276" w:lineRule="auto"/>
        <w:ind w:left="1134" w:firstLine="0"/>
        <w:jc w:val="both"/>
        <w:rPr>
          <w:rFonts w:asciiTheme="minorHAnsi" w:hAnsiTheme="minorHAnsi" w:cs="Arial"/>
          <w:sz w:val="20"/>
          <w:szCs w:val="20"/>
        </w:rPr>
      </w:pPr>
      <w:r w:rsidRPr="00313ECB">
        <w:rPr>
          <w:rFonts w:asciiTheme="minorHAnsi" w:hAnsiTheme="minorHAnsi" w:cs="Arial"/>
          <w:sz w:val="20"/>
          <w:szCs w:val="20"/>
        </w:rPr>
        <w:t>Também nas hipóteses em que o Pregoeiro não aceitar a proposta e passar à subsequente, poderá negociar com o licitante para que seja obtido preço melhor.</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negociação será realizada por meio do sistema, podendo ser acompanhada pelos demais licitantes.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313ECB">
        <w:rPr>
          <w:rFonts w:asciiTheme="minorHAnsi" w:hAnsiTheme="minorHAnsi" w:cs="Arial"/>
          <w:bCs/>
          <w:color w:val="000000"/>
          <w:sz w:val="20"/>
          <w:szCs w:val="20"/>
        </w:rPr>
        <w:t>observado o preço da proposta vencedora.</w:t>
      </w:r>
    </w:p>
    <w:p w:rsidR="00525A73" w:rsidRPr="00313ECB" w:rsidRDefault="00525A73">
      <w:pPr>
        <w:spacing w:after="120" w:line="276" w:lineRule="auto"/>
        <w:ind w:left="432" w:right="-17"/>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lang w:eastAsia="en-US"/>
        </w:rPr>
      </w:pPr>
      <w:r w:rsidRPr="00313ECB">
        <w:rPr>
          <w:rFonts w:asciiTheme="minorHAnsi" w:hAnsiTheme="minorHAnsi" w:cs="Arial"/>
          <w:b/>
          <w:color w:val="000000"/>
          <w:sz w:val="20"/>
          <w:szCs w:val="20"/>
          <w:lang w:eastAsia="en-US"/>
        </w:rPr>
        <w:t xml:space="preserve">DA HABILITAÇÃO </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lang w:eastAsia="ar-SA"/>
        </w:rPr>
        <w:t>Como condição prévia ao exame da documentação de habilitação</w:t>
      </w:r>
      <w:r w:rsidRPr="00313ECB">
        <w:rPr>
          <w:rFonts w:asciiTheme="minorHAnsi" w:hAnsiTheme="minorHAnsi" w:cs="Arial"/>
          <w:sz w:val="20"/>
          <w:szCs w:val="20"/>
        </w:rPr>
        <w:t xml:space="preserve"> do licitante detentor da proposta </w:t>
      </w:r>
      <w:r w:rsidRPr="00313ECB">
        <w:rPr>
          <w:rFonts w:asciiTheme="minorHAnsi" w:hAnsiTheme="minorHAnsi" w:cs="Arial"/>
          <w:color w:val="000000"/>
          <w:sz w:val="20"/>
          <w:szCs w:val="20"/>
        </w:rPr>
        <w:t>classificada em primeiro lugar</w:t>
      </w:r>
      <w:r w:rsidRPr="00313ECB">
        <w:rPr>
          <w:rFonts w:asciiTheme="minorHAnsi" w:hAnsiTheme="minorHAnsi" w:cs="Arial"/>
          <w:sz w:val="20"/>
          <w:szCs w:val="20"/>
          <w:lang w:eastAsia="ar-SA"/>
        </w:rPr>
        <w:t xml:space="preserve">, </w:t>
      </w:r>
      <w:r w:rsidRPr="00313ECB">
        <w:rPr>
          <w:rFonts w:asciiTheme="minorHAnsi" w:hAnsiTheme="minorHAnsi" w:cs="Arial"/>
          <w:sz w:val="20"/>
          <w:szCs w:val="20"/>
        </w:rPr>
        <w:t xml:space="preserve">o Pregoeiro </w:t>
      </w:r>
      <w:r w:rsidRPr="00313ECB">
        <w:rPr>
          <w:rFonts w:asciiTheme="minorHAnsi" w:hAnsiTheme="minorHAnsi" w:cs="Arial"/>
          <w:sz w:val="20"/>
          <w:szCs w:val="20"/>
          <w:lang w:eastAsia="ar-SA"/>
        </w:rPr>
        <w:t>verificará o eventual descumprimento das condições de participação, especialmente quanto à</w:t>
      </w:r>
      <w:r w:rsidRPr="00313ECB">
        <w:rPr>
          <w:rFonts w:asciiTheme="minorHAnsi" w:hAnsiTheme="minorHAnsi" w:cs="Arial"/>
          <w:sz w:val="20"/>
          <w:szCs w:val="20"/>
        </w:rPr>
        <w:t xml:space="preserve"> existência de sanção que impeça a participação no certame ou a futura contratação, mediante a consulta aos seguintes cadastros:</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sz w:val="20"/>
          <w:szCs w:val="20"/>
        </w:rPr>
      </w:pPr>
      <w:r w:rsidRPr="00313ECB">
        <w:rPr>
          <w:rFonts w:asciiTheme="minorHAnsi" w:hAnsiTheme="minorHAnsi" w:cs="Arial"/>
          <w:sz w:val="20"/>
          <w:szCs w:val="20"/>
        </w:rPr>
        <w:t>SICAF;</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sz w:val="20"/>
          <w:szCs w:val="20"/>
        </w:rPr>
        <w:t xml:space="preserve">Cadastro Nacional de Empresas Inidôneas e Suspensas – </w:t>
      </w:r>
      <w:proofErr w:type="spellStart"/>
      <w:r w:rsidRPr="00313ECB">
        <w:rPr>
          <w:rFonts w:asciiTheme="minorHAnsi" w:hAnsiTheme="minorHAnsi" w:cs="Arial"/>
          <w:sz w:val="20"/>
          <w:szCs w:val="20"/>
        </w:rPr>
        <w:t>CEIS</w:t>
      </w:r>
      <w:proofErr w:type="spellEnd"/>
      <w:r w:rsidRPr="00313ECB">
        <w:rPr>
          <w:rFonts w:asciiTheme="minorHAnsi" w:hAnsiTheme="minorHAnsi" w:cs="Arial"/>
          <w:sz w:val="20"/>
          <w:szCs w:val="20"/>
        </w:rPr>
        <w:t>, mantido pela Controladoria-Geral da União (</w:t>
      </w:r>
      <w:hyperlink r:id="rId8">
        <w:r w:rsidRPr="00313ECB">
          <w:rPr>
            <w:rStyle w:val="LinkdaInternet"/>
            <w:rFonts w:asciiTheme="minorHAnsi" w:hAnsiTheme="minorHAnsi" w:cs="Arial"/>
            <w:color w:val="0000FF"/>
            <w:sz w:val="20"/>
            <w:szCs w:val="20"/>
          </w:rPr>
          <w:t>www.portaldatransparencia.gov.br/ceis</w:t>
        </w:r>
      </w:hyperlink>
      <w:r w:rsidRPr="00313ECB">
        <w:rPr>
          <w:rFonts w:asciiTheme="minorHAnsi" w:hAnsiTheme="minorHAnsi" w:cs="Arial"/>
          <w:sz w:val="20"/>
          <w:szCs w:val="20"/>
        </w:rPr>
        <w:t>);</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sz w:val="20"/>
          <w:szCs w:val="20"/>
        </w:rPr>
        <w:t>Cadastro Nacional de Condenações Cíveis por Atos de Improbidade Administrativa, mantido pelo Conselho Nacional de Justiça</w:t>
      </w:r>
      <w:r w:rsidRPr="00313ECB">
        <w:rPr>
          <w:rFonts w:asciiTheme="minorHAnsi" w:hAnsiTheme="minorHAnsi" w:cs="Arial"/>
          <w:sz w:val="20"/>
          <w:szCs w:val="20"/>
        </w:rPr>
        <w:t xml:space="preserve"> (</w:t>
      </w:r>
      <w:hyperlink r:id="rId9">
        <w:r w:rsidRPr="00313ECB">
          <w:rPr>
            <w:rStyle w:val="LinkdaInternet"/>
            <w:rFonts w:asciiTheme="minorHAnsi" w:hAnsiTheme="minorHAnsi" w:cs="Arial"/>
            <w:color w:val="0000FF"/>
            <w:sz w:val="20"/>
            <w:szCs w:val="20"/>
          </w:rPr>
          <w:t>www.</w:t>
        </w:r>
      </w:hyperlink>
      <w:hyperlink r:id="rId10">
        <w:r w:rsidRPr="00313ECB">
          <w:rPr>
            <w:rStyle w:val="LinkdaInternet"/>
            <w:rFonts w:asciiTheme="minorHAnsi" w:hAnsiTheme="minorHAnsi" w:cs="Arial"/>
            <w:bCs/>
            <w:color w:val="0000FF"/>
            <w:sz w:val="20"/>
            <w:szCs w:val="20"/>
          </w:rPr>
          <w:t>cnj</w:t>
        </w:r>
      </w:hyperlink>
      <w:hyperlink r:id="rId11">
        <w:r w:rsidRPr="00313ECB">
          <w:rPr>
            <w:rStyle w:val="LinkdaInternet"/>
            <w:rFonts w:asciiTheme="minorHAnsi" w:hAnsiTheme="minorHAnsi" w:cs="Arial"/>
            <w:color w:val="0000FF"/>
            <w:sz w:val="20"/>
            <w:szCs w:val="20"/>
          </w:rPr>
          <w:t>.jus.br/</w:t>
        </w:r>
        <w:proofErr w:type="spellStart"/>
      </w:hyperlink>
      <w:hyperlink r:id="rId12">
        <w:r w:rsidRPr="00313ECB">
          <w:rPr>
            <w:rStyle w:val="LinkdaInternet"/>
            <w:rFonts w:asciiTheme="minorHAnsi" w:hAnsiTheme="minorHAnsi" w:cs="Arial"/>
            <w:bCs/>
            <w:color w:val="0000FF"/>
            <w:sz w:val="20"/>
            <w:szCs w:val="20"/>
          </w:rPr>
          <w:t>improbidade</w:t>
        </w:r>
      </w:hyperlink>
      <w:hyperlink r:id="rId13">
        <w:r w:rsidRPr="00313ECB">
          <w:rPr>
            <w:rStyle w:val="LinkdaInternet"/>
            <w:rFonts w:asciiTheme="minorHAnsi" w:hAnsiTheme="minorHAnsi" w:cs="Arial"/>
            <w:color w:val="0000FF"/>
            <w:sz w:val="20"/>
            <w:szCs w:val="20"/>
          </w:rPr>
          <w:t>_adm</w:t>
        </w:r>
        <w:proofErr w:type="spellEnd"/>
        <w:r w:rsidRPr="00313ECB">
          <w:rPr>
            <w:rStyle w:val="LinkdaInternet"/>
            <w:rFonts w:asciiTheme="minorHAnsi" w:hAnsiTheme="minorHAnsi" w:cs="Arial"/>
            <w:color w:val="0000FF"/>
            <w:sz w:val="20"/>
            <w:szCs w:val="20"/>
          </w:rPr>
          <w:t>/</w:t>
        </w:r>
        <w:proofErr w:type="spellStart"/>
        <w:r w:rsidRPr="00313ECB">
          <w:rPr>
            <w:rStyle w:val="LinkdaInternet"/>
            <w:rFonts w:asciiTheme="minorHAnsi" w:hAnsiTheme="minorHAnsi" w:cs="Arial"/>
            <w:color w:val="0000FF"/>
            <w:sz w:val="20"/>
            <w:szCs w:val="20"/>
          </w:rPr>
          <w:t>consultar_requerido.php</w:t>
        </w:r>
        <w:proofErr w:type="spellEnd"/>
      </w:hyperlink>
      <w:r w:rsidRPr="00313ECB">
        <w:rPr>
          <w:rFonts w:asciiTheme="minorHAnsi" w:hAnsiTheme="minorHAnsi" w:cs="Arial"/>
          <w:sz w:val="20"/>
          <w:szCs w:val="20"/>
        </w:rPr>
        <w:t>).</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sz w:val="20"/>
          <w:szCs w:val="20"/>
        </w:rPr>
      </w:pPr>
      <w:r w:rsidRPr="00313ECB">
        <w:rPr>
          <w:rFonts w:asciiTheme="minorHAnsi" w:hAnsiTheme="minorHAnsi" w:cs="Arial"/>
          <w:sz w:val="20"/>
          <w:szCs w:val="20"/>
        </w:rPr>
        <w:t>Lista de Inidôneos, mantida pelo Tribunal de Contas da União – TCU;</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lastRenderedPageBreak/>
        <w:t>Constatada a existência de sanção, o Pregoeiro reputará o licitante inabilitado, por falta de condição de participação.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 xml:space="preserve">O Pregoeiro consultará o Sistema de Cadastro Unificado de Fornecedores – SICAF, em relação à habilitação jurídica e à regularidade fiscal e trabalhista, conforme disposto nos arts. 4º, </w:t>
      </w:r>
      <w:r w:rsidRPr="00313ECB">
        <w:rPr>
          <w:rFonts w:asciiTheme="minorHAnsi" w:hAnsiTheme="minorHAnsi" w:cs="Arial"/>
          <w:bCs/>
          <w:i/>
          <w:color w:val="000000"/>
          <w:sz w:val="20"/>
          <w:szCs w:val="20"/>
        </w:rPr>
        <w:t>caput</w:t>
      </w:r>
      <w:r w:rsidRPr="00313ECB">
        <w:rPr>
          <w:rFonts w:asciiTheme="minorHAnsi" w:hAnsiTheme="minorHAnsi" w:cs="Arial"/>
          <w:bCs/>
          <w:color w:val="000000"/>
          <w:sz w:val="20"/>
          <w:szCs w:val="20"/>
        </w:rPr>
        <w:t>, 8º, § 3º, 13, 14 e 43 da Instrução Normativa SLTI/MPOG nº 2, de 2010.</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 xml:space="preserve">Também poderão ser consultados </w:t>
      </w:r>
      <w:r w:rsidRPr="00313ECB">
        <w:rPr>
          <w:rFonts w:asciiTheme="minorHAnsi" w:hAnsiTheme="minorHAnsi" w:cs="Arial"/>
          <w:bCs/>
          <w:color w:val="000000"/>
          <w:sz w:val="20"/>
          <w:szCs w:val="20"/>
        </w:rPr>
        <w:t xml:space="preserve">os sítios oficiais emissores de certidões, especialmente quando </w:t>
      </w:r>
      <w:r w:rsidRPr="00313ECB">
        <w:rPr>
          <w:rFonts w:asciiTheme="minorHAnsi" w:hAnsiTheme="minorHAnsi" w:cs="Arial"/>
          <w:color w:val="000000"/>
          <w:sz w:val="20"/>
          <w:szCs w:val="20"/>
        </w:rPr>
        <w:t>o licitante esteja com alguma documentação vencida junto ao SICAF</w:t>
      </w:r>
      <w:r w:rsidRPr="00313ECB">
        <w:rPr>
          <w:rFonts w:asciiTheme="minorHAnsi" w:hAnsiTheme="minorHAnsi" w:cs="Arial"/>
          <w:bCs/>
          <w:color w:val="000000"/>
          <w:sz w:val="20"/>
          <w:szCs w:val="20"/>
        </w:rPr>
        <w:t>.</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 xml:space="preserve">Caso o Pregoeiro não logre êxito em obter a certidão correspondente através do sítio oficial, </w:t>
      </w:r>
      <w:r w:rsidRPr="00313ECB">
        <w:rPr>
          <w:rFonts w:asciiTheme="minorHAnsi" w:hAnsiTheme="minorHAnsi" w:cs="Arial"/>
          <w:sz w:val="20"/>
          <w:szCs w:val="20"/>
        </w:rPr>
        <w:t>ou na hipótese de se encontrar vencida no referido sistema</w:t>
      </w:r>
      <w:r w:rsidRPr="00313ECB">
        <w:rPr>
          <w:rFonts w:asciiTheme="minorHAnsi" w:hAnsiTheme="minorHAnsi" w:cs="Arial"/>
          <w:b/>
          <w:sz w:val="20"/>
          <w:szCs w:val="20"/>
          <w:u w:val="single"/>
        </w:rPr>
        <w:t>,</w:t>
      </w:r>
      <w:r w:rsidRPr="00313ECB">
        <w:rPr>
          <w:rFonts w:asciiTheme="minorHAnsi" w:hAnsiTheme="minorHAnsi" w:cs="Arial"/>
          <w:sz w:val="20"/>
          <w:szCs w:val="20"/>
        </w:rPr>
        <w:t xml:space="preserve"> o licitante </w:t>
      </w:r>
      <w:r w:rsidRPr="00313ECB">
        <w:rPr>
          <w:rFonts w:asciiTheme="minorHAnsi" w:hAnsiTheme="minorHAnsi" w:cs="Arial"/>
          <w:color w:val="000000"/>
          <w:sz w:val="20"/>
          <w:szCs w:val="20"/>
        </w:rPr>
        <w:t xml:space="preserve">será convocado a encaminhar, no prazo de 05 </w:t>
      </w:r>
      <w:r w:rsidRPr="00313ECB">
        <w:rPr>
          <w:rFonts w:asciiTheme="minorHAnsi" w:hAnsiTheme="minorHAnsi" w:cs="Arial"/>
          <w:bCs/>
          <w:color w:val="000000"/>
          <w:sz w:val="20"/>
          <w:szCs w:val="20"/>
        </w:rPr>
        <w:t>(cinco) dias úteis</w:t>
      </w:r>
      <w:r w:rsidRPr="00313ECB">
        <w:rPr>
          <w:rFonts w:asciiTheme="minorHAnsi" w:hAnsiTheme="minorHAnsi"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313ECB">
        <w:rPr>
          <w:rFonts w:asciiTheme="minorHAnsi" w:hAnsiTheme="minorHAnsi" w:cs="Arial"/>
          <w:color w:val="000000"/>
          <w:sz w:val="20"/>
          <w:szCs w:val="20"/>
        </w:rPr>
        <w:t>, nas condições seguintes</w:t>
      </w:r>
      <w:r w:rsidRPr="00313ECB">
        <w:rPr>
          <w:rFonts w:asciiTheme="minorHAnsi" w:hAnsiTheme="minorHAnsi" w:cs="Arial"/>
          <w:bCs/>
          <w:color w:val="000000"/>
          <w:sz w:val="20"/>
          <w:szCs w:val="20"/>
        </w:rPr>
        <w:t>:</w:t>
      </w:r>
    </w:p>
    <w:p w:rsidR="00525A73" w:rsidRPr="00313ECB" w:rsidRDefault="00525A73">
      <w:pPr>
        <w:spacing w:before="120" w:after="120" w:line="276" w:lineRule="auto"/>
        <w:ind w:left="1713"/>
        <w:jc w:val="both"/>
        <w:rPr>
          <w:rFonts w:asciiTheme="minorHAnsi" w:hAnsiTheme="minorHAnsi" w:cs="Arial"/>
          <w:bCs/>
          <w:color w:val="000000"/>
          <w:sz w:val="20"/>
          <w:szCs w:val="20"/>
        </w:rPr>
      </w:pPr>
    </w:p>
    <w:p w:rsidR="00525A73" w:rsidRPr="00313ECB" w:rsidRDefault="00313ECB">
      <w:pPr>
        <w:numPr>
          <w:ilvl w:val="1"/>
          <w:numId w:val="2"/>
        </w:numPr>
        <w:spacing w:before="120" w:after="120" w:line="276" w:lineRule="auto"/>
        <w:ind w:left="425" w:firstLine="0"/>
        <w:jc w:val="both"/>
        <w:rPr>
          <w:rFonts w:asciiTheme="minorHAnsi" w:hAnsiTheme="minorHAnsi" w:cs="Arial"/>
          <w:b/>
          <w:bCs/>
          <w:color w:val="000000"/>
          <w:sz w:val="20"/>
          <w:szCs w:val="20"/>
        </w:rPr>
      </w:pPr>
      <w:r w:rsidRPr="00313ECB">
        <w:rPr>
          <w:rFonts w:asciiTheme="minorHAnsi" w:hAnsiTheme="minorHAnsi" w:cs="Arial"/>
          <w:b/>
          <w:bCs/>
          <w:color w:val="000000"/>
          <w:sz w:val="20"/>
          <w:szCs w:val="20"/>
        </w:rPr>
        <w:t xml:space="preserve">Habilitação jurídica: </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No caso de empresário individual: inscrição no Registro Público de Empresas Mercantis, a cargo da Junta Comercial da respectiva sede;</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No caso de sociedade simples: inscrição do ato constitutivo no Registro Civil das Pessoas Jurídicas do local de sua sede, acompanhada de prova da indicação dos seus administradores;</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color w:val="000000"/>
          <w:sz w:val="20"/>
          <w:szCs w:val="20"/>
        </w:rPr>
        <w:t>Os documentos acima deverão estar acompanhados de todas as alterações ou da consolidação respectiva;</w:t>
      </w:r>
    </w:p>
    <w:p w:rsidR="00525A73" w:rsidRPr="00313ECB" w:rsidRDefault="00525A73">
      <w:pPr>
        <w:pStyle w:val="PargrafodaLista"/>
        <w:spacing w:before="120" w:after="120" w:line="276" w:lineRule="auto"/>
        <w:ind w:left="2990"/>
        <w:jc w:val="both"/>
        <w:rPr>
          <w:rFonts w:asciiTheme="minorHAnsi" w:hAnsiTheme="minorHAnsi" w:cs="Arial"/>
          <w:bCs/>
          <w:color w:val="000000"/>
          <w:sz w:val="20"/>
          <w:szCs w:val="20"/>
        </w:rPr>
      </w:pPr>
    </w:p>
    <w:p w:rsidR="00525A73" w:rsidRPr="00313ECB" w:rsidRDefault="00313ECB">
      <w:pPr>
        <w:numPr>
          <w:ilvl w:val="1"/>
          <w:numId w:val="2"/>
        </w:numPr>
        <w:spacing w:before="120" w:after="120" w:line="276" w:lineRule="auto"/>
        <w:ind w:left="425" w:firstLine="0"/>
        <w:jc w:val="both"/>
        <w:rPr>
          <w:rFonts w:asciiTheme="minorHAnsi" w:hAnsiTheme="minorHAnsi" w:cs="Arial"/>
          <w:b/>
          <w:bCs/>
          <w:color w:val="000000"/>
          <w:sz w:val="20"/>
          <w:szCs w:val="20"/>
        </w:rPr>
      </w:pPr>
      <w:r w:rsidRPr="00313ECB">
        <w:rPr>
          <w:rFonts w:asciiTheme="minorHAnsi" w:hAnsiTheme="minorHAnsi" w:cs="Arial"/>
          <w:b/>
          <w:bCs/>
          <w:color w:val="000000"/>
          <w:sz w:val="20"/>
          <w:szCs w:val="20"/>
        </w:rPr>
        <w:t>Regularidade fiscal e trabalhista:</w:t>
      </w:r>
    </w:p>
    <w:p w:rsidR="00525A73" w:rsidRPr="00313ECB" w:rsidRDefault="00313ECB">
      <w:pPr>
        <w:numPr>
          <w:ilvl w:val="2"/>
          <w:numId w:val="2"/>
        </w:numPr>
        <w:spacing w:before="120" w:after="120" w:line="276" w:lineRule="auto"/>
        <w:ind w:left="1134" w:firstLine="0"/>
        <w:jc w:val="both"/>
        <w:rPr>
          <w:rFonts w:asciiTheme="minorHAnsi" w:hAnsiTheme="minorHAnsi" w:cs="Arial"/>
          <w:sz w:val="20"/>
          <w:szCs w:val="20"/>
          <w:lang w:eastAsia="en-US"/>
        </w:rPr>
      </w:pPr>
      <w:proofErr w:type="gramStart"/>
      <w:r w:rsidRPr="00313ECB">
        <w:rPr>
          <w:rFonts w:asciiTheme="minorHAnsi" w:hAnsiTheme="minorHAnsi" w:cs="Arial"/>
          <w:sz w:val="20"/>
          <w:szCs w:val="20"/>
          <w:lang w:eastAsia="en-US"/>
        </w:rPr>
        <w:lastRenderedPageBreak/>
        <w:t>prova</w:t>
      </w:r>
      <w:proofErr w:type="gramEnd"/>
      <w:r w:rsidRPr="00313ECB">
        <w:rPr>
          <w:rFonts w:asciiTheme="minorHAnsi" w:hAnsiTheme="minorHAnsi" w:cs="Arial"/>
          <w:sz w:val="20"/>
          <w:szCs w:val="20"/>
          <w:lang w:eastAsia="en-US"/>
        </w:rPr>
        <w:t xml:space="preserve"> de inscrição no Cadastro Nacional de Pessoas Jurídicas ou no Cadastro de Pessoas Físicas, conforme o caso;</w:t>
      </w:r>
    </w:p>
    <w:p w:rsidR="00525A73" w:rsidRPr="00313ECB" w:rsidRDefault="00313ECB">
      <w:pPr>
        <w:numPr>
          <w:ilvl w:val="2"/>
          <w:numId w:val="2"/>
        </w:numPr>
        <w:spacing w:before="120" w:after="120" w:line="276" w:lineRule="auto"/>
        <w:ind w:left="1134" w:firstLine="0"/>
        <w:jc w:val="both"/>
        <w:rPr>
          <w:rFonts w:asciiTheme="minorHAnsi" w:hAnsiTheme="minorHAnsi" w:cs="Arial"/>
          <w:sz w:val="20"/>
          <w:szCs w:val="20"/>
        </w:rPr>
      </w:pPr>
      <w:r w:rsidRPr="00313ECB">
        <w:rPr>
          <w:rFonts w:asciiTheme="minorHAnsi" w:hAnsiTheme="minorHAnsi"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lang w:eastAsia="en-US"/>
        </w:rPr>
      </w:pPr>
      <w:proofErr w:type="gramStart"/>
      <w:r w:rsidRPr="00313ECB">
        <w:rPr>
          <w:rFonts w:asciiTheme="minorHAnsi" w:hAnsiTheme="minorHAnsi" w:cs="Arial"/>
          <w:color w:val="000000"/>
          <w:sz w:val="20"/>
          <w:szCs w:val="20"/>
          <w:lang w:eastAsia="en-US"/>
        </w:rPr>
        <w:t>prova</w:t>
      </w:r>
      <w:proofErr w:type="gramEnd"/>
      <w:r w:rsidRPr="00313ECB">
        <w:rPr>
          <w:rFonts w:asciiTheme="minorHAnsi" w:hAnsiTheme="minorHAnsi" w:cs="Arial"/>
          <w:color w:val="000000"/>
          <w:sz w:val="20"/>
          <w:szCs w:val="20"/>
          <w:lang w:eastAsia="en-US"/>
        </w:rPr>
        <w:t xml:space="preserve"> de regularidade com o Fundo de Garantia do Tempo de Serviço (FGTS);</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lang w:eastAsia="en-US"/>
        </w:rPr>
        <w:t>prova</w:t>
      </w:r>
      <w:proofErr w:type="gramEnd"/>
      <w:r w:rsidRPr="00313ECB">
        <w:rPr>
          <w:rFonts w:asciiTheme="minorHAnsi" w:hAnsiTheme="minorHAnsi" w:cs="Arial"/>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lang w:eastAsia="en-US" w:bidi="pt-BR"/>
        </w:rPr>
        <w:t>caso</w:t>
      </w:r>
      <w:proofErr w:type="gramEnd"/>
      <w:r w:rsidRPr="00313ECB">
        <w:rPr>
          <w:rFonts w:asciiTheme="minorHAnsi" w:hAnsiTheme="minorHAnsi" w:cs="Arial"/>
          <w:color w:val="000000"/>
          <w:sz w:val="20"/>
          <w:szCs w:val="20"/>
          <w:lang w:eastAsia="en-US" w:bidi="pt-BR"/>
        </w:rPr>
        <w:t xml:space="preserve"> o licitante detentor do menor preço seja qualificado como microempresa ou empresa de pequeno porte </w:t>
      </w:r>
      <w:r w:rsidRPr="00313ECB">
        <w:rPr>
          <w:rFonts w:asciiTheme="minorHAnsi" w:hAnsiTheme="minorHAnsi" w:cs="Arial"/>
          <w:color w:val="000000"/>
          <w:sz w:val="20"/>
          <w:szCs w:val="20"/>
          <w:lang w:eastAsia="en-US"/>
        </w:rPr>
        <w:t>deverá apresentar toda a documentação exigida para efeito de comprovação de regularidade fiscal, mesmo que esta apresente alguma restrição, sob pena de inabilitação.</w:t>
      </w:r>
    </w:p>
    <w:p w:rsidR="00525A73" w:rsidRPr="00313ECB" w:rsidRDefault="00313ECB">
      <w:pPr>
        <w:pStyle w:val="PargrafodaLista"/>
        <w:numPr>
          <w:ilvl w:val="1"/>
          <w:numId w:val="2"/>
        </w:numPr>
        <w:tabs>
          <w:tab w:val="left" w:pos="1440"/>
        </w:tabs>
        <w:snapToGrid w:val="0"/>
        <w:spacing w:before="120" w:after="120" w:line="276" w:lineRule="auto"/>
        <w:ind w:left="426" w:firstLine="0"/>
        <w:jc w:val="both"/>
        <w:rPr>
          <w:rFonts w:asciiTheme="minorHAnsi" w:hAnsiTheme="minorHAnsi"/>
        </w:rPr>
      </w:pPr>
      <w:r w:rsidRPr="00313ECB">
        <w:rPr>
          <w:rFonts w:asciiTheme="minorHAnsi" w:hAnsiTheme="minorHAnsi"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 xml:space="preserve">Os documentos exigidos para habilitação, relacionados nos subitens acima, deverão ser apresentados em meio digital pelos licitantes, por meio de funcionalidade presente no sistema (upload), no prazo de 02 (duas) horas, após solicitação do Pregoeiro no sistema eletrônico, nos moldes do Art. 3º da Instrução Normativa do SLTI/MPOG nº 01 de 26/03/2014, prorrogável por até igual período mediante solicitação do fornecedor, preferencialmente via e-mail e dentro do prazo de convocação, a critério do pregoeiro. Somente mediante autorização do Pregoeiro e em caso de indisponibilidade do sistema, será aceito o envio da documentação por meio do e-mail </w:t>
      </w:r>
      <w:r w:rsidRPr="00313ECB">
        <w:rPr>
          <w:rStyle w:val="LinkdaInternet"/>
          <w:rFonts w:asciiTheme="minorHAnsi" w:hAnsiTheme="minorHAnsi" w:cs="Arial"/>
          <w:bCs/>
          <w:color w:val="000000"/>
          <w:sz w:val="20"/>
          <w:szCs w:val="20"/>
          <w:u w:val="none"/>
        </w:rPr>
        <w:t>cplpu@prefeitura.ufpb.br</w:t>
      </w:r>
      <w:r w:rsidRPr="00313ECB">
        <w:rPr>
          <w:rFonts w:asciiTheme="minorHAnsi" w:hAnsiTheme="minorHAnsi" w:cs="Arial"/>
          <w:bCs/>
          <w:color w:val="000000"/>
          <w:sz w:val="20"/>
          <w:szCs w:val="20"/>
        </w:rPr>
        <w:t>. Posteriormente, os documentos serão remetidos em original ao Protocolo Central UFPB, por qualquer processo de cópia reprográfica, autenticada por tabelião de notas, ou por servidor da Administração, desde que conferidos com o original conforme Portaria Normativa SLTI-MPOG Nº 05, de 19/12/2002, ou publicação em órgão da imprensa oficial, para análise, no prazo de 72 (setenta e duas) horas, após encerrado o prazo para o encaminhamento via funcionalidade do sistema (upload), e-mail.</w:t>
      </w:r>
    </w:p>
    <w:p w:rsidR="00525A73" w:rsidRPr="00313ECB" w:rsidRDefault="00313ECB">
      <w:pPr>
        <w:numPr>
          <w:ilvl w:val="1"/>
          <w:numId w:val="2"/>
        </w:numPr>
        <w:tabs>
          <w:tab w:val="left" w:pos="1418"/>
        </w:tabs>
        <w:spacing w:line="360" w:lineRule="auto"/>
        <w:jc w:val="both"/>
        <w:rPr>
          <w:rFonts w:asciiTheme="minorHAnsi" w:hAnsiTheme="minorHAnsi"/>
        </w:rPr>
      </w:pPr>
      <w:r w:rsidRPr="00313ECB">
        <w:rPr>
          <w:rFonts w:asciiTheme="minorHAnsi" w:hAnsiTheme="minorHAnsi" w:cs="Times New Roman"/>
          <w:bCs/>
        </w:rPr>
        <w:t>No caso de envio postal o mesmo dever</w:t>
      </w:r>
      <w:r>
        <w:rPr>
          <w:rFonts w:asciiTheme="minorHAnsi" w:hAnsiTheme="minorHAnsi" w:cs="Times New Roman"/>
          <w:bCs/>
        </w:rPr>
        <w:t>á</w:t>
      </w:r>
      <w:r w:rsidRPr="00313ECB">
        <w:rPr>
          <w:rFonts w:asciiTheme="minorHAnsi" w:hAnsiTheme="minorHAnsi" w:cs="Times New Roman"/>
          <w:bCs/>
        </w:rPr>
        <w:t xml:space="preserve"> ser por meio de objeto qualificado, com Aviso de Recebimento -</w:t>
      </w:r>
      <w:r>
        <w:rPr>
          <w:rFonts w:asciiTheme="minorHAnsi" w:hAnsiTheme="minorHAnsi" w:cs="Times New Roman"/>
          <w:bCs/>
        </w:rPr>
        <w:t xml:space="preserve"> </w:t>
      </w:r>
      <w:r w:rsidRPr="00313ECB">
        <w:rPr>
          <w:rFonts w:asciiTheme="minorHAnsi" w:hAnsiTheme="minorHAnsi" w:cs="Times New Roman"/>
          <w:bCs/>
        </w:rPr>
        <w:t xml:space="preserve">AR, enviando o número de registro do objeto nos sistema da Empresa Brasileira de Correios – ECT para o e-mail da CPL-PU, utilizar preferencialmente SEDEX, o endereço da </w:t>
      </w:r>
      <w:r w:rsidRPr="00313ECB">
        <w:rPr>
          <w:rFonts w:asciiTheme="minorHAnsi" w:hAnsiTheme="minorHAnsi" w:cs="Times New Roman"/>
          <w:bCs/>
          <w:caps/>
        </w:rPr>
        <w:t>cpl-pu</w:t>
      </w:r>
      <w:r w:rsidRPr="00313ECB">
        <w:rPr>
          <w:rFonts w:asciiTheme="minorHAnsi" w:hAnsiTheme="minorHAnsi" w:cs="Times New Roman"/>
          <w:bCs/>
        </w:rPr>
        <w:t xml:space="preserve"> é o seguinte:</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t>Universidade Federal da Paraíba – Campus I (Reitoria)</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t>A/C Comissão Permanente de Licitação (CPL-PU)</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t>Gabinete da Reitoria (Sala 09 – Antiga Sala de Reuniões)</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lastRenderedPageBreak/>
        <w:t>Cidade Universitária, S/N</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t>João Pessoa, PB – CEP: 58.051–900</w:t>
      </w:r>
    </w:p>
    <w:p w:rsidR="00525A73" w:rsidRPr="00313ECB" w:rsidRDefault="00313ECB">
      <w:pPr>
        <w:pBdr>
          <w:top w:val="single" w:sz="4" w:space="1" w:color="00000A"/>
          <w:left w:val="single" w:sz="4" w:space="4" w:color="00000A"/>
          <w:bottom w:val="single" w:sz="4" w:space="1" w:color="00000A"/>
          <w:right w:val="single" w:sz="4" w:space="4" w:color="00000A"/>
        </w:pBdr>
        <w:tabs>
          <w:tab w:val="left" w:pos="1701"/>
        </w:tabs>
        <w:spacing w:line="360" w:lineRule="auto"/>
        <w:ind w:left="384"/>
        <w:jc w:val="both"/>
        <w:rPr>
          <w:rFonts w:asciiTheme="minorHAnsi" w:hAnsiTheme="minorHAnsi"/>
        </w:rPr>
      </w:pPr>
      <w:r w:rsidRPr="00313ECB">
        <w:rPr>
          <w:rFonts w:asciiTheme="minorHAnsi" w:hAnsiTheme="minorHAnsi" w:cs="Times New Roman"/>
          <w:bCs/>
        </w:rPr>
        <w:t xml:space="preserve">E–mail: </w:t>
      </w:r>
      <w:hyperlink r:id="rId14">
        <w:r w:rsidRPr="00313ECB">
          <w:rPr>
            <w:rStyle w:val="LinkdaInternet"/>
            <w:rFonts w:asciiTheme="minorHAnsi" w:hAnsiTheme="minorHAnsi" w:cs="Times New Roman"/>
            <w:bCs/>
          </w:rPr>
          <w:t>cplpu@prefeitura.ufpb.br</w:t>
        </w:r>
      </w:hyperlink>
    </w:p>
    <w:p w:rsidR="00525A73" w:rsidRPr="00313ECB" w:rsidRDefault="00525A73">
      <w:pPr>
        <w:spacing w:before="120" w:after="120" w:line="276" w:lineRule="auto"/>
        <w:ind w:left="1288"/>
        <w:jc w:val="both"/>
        <w:rPr>
          <w:rFonts w:asciiTheme="minorHAnsi" w:hAnsiTheme="minorHAnsi" w:cs="Times New Roman"/>
        </w:rPr>
      </w:pP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sz w:val="20"/>
          <w:szCs w:val="20"/>
        </w:rPr>
      </w:pPr>
      <w:r w:rsidRPr="00313ECB">
        <w:rPr>
          <w:rFonts w:asciiTheme="minorHAnsi" w:hAnsiTheme="minorHAnsi" w:cs="Arial"/>
          <w:bCs/>
          <w:sz w:val="20"/>
          <w:szCs w:val="20"/>
        </w:rPr>
        <w:t>Não serão aceitos documentos com indicação de CNPJ/CPF diferentes, salvo aqueles legalmente permitidos.</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525A73" w:rsidRPr="00313ECB" w:rsidRDefault="00313ECB">
      <w:pPr>
        <w:pStyle w:val="PargrafodaLista"/>
        <w:numPr>
          <w:ilvl w:val="2"/>
          <w:numId w:val="2"/>
        </w:numPr>
        <w:spacing w:before="120" w:after="120" w:line="276" w:lineRule="auto"/>
        <w:ind w:left="1134"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A declaração do vencedor acontecerá no momento imediatamente posterior à fase de habilitação.</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bCs/>
          <w:color w:val="000000"/>
          <w:sz w:val="20"/>
          <w:szCs w:val="20"/>
        </w:rPr>
        <w:t>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bCs/>
          <w:color w:val="000000"/>
          <w:sz w:val="20"/>
          <w:szCs w:val="20"/>
        </w:rPr>
      </w:pPr>
      <w:r w:rsidRPr="00313ECB">
        <w:rPr>
          <w:rFonts w:asciiTheme="minorHAnsi" w:hAnsiTheme="minorHAnsi"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Havendo necessidade de analisar minuciosamente os documentos exigidos, o Pregoeiro suspenderá a sessão, informando no “chat” a nova data e horário para a continuidade da mesma.</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Será inabilitado o licitante que não comprovar sua habilitação, deixar de apresentar quaisquer dos documentos exigidos para a habilitação, ou apresentá-los em desacordo com o e</w:t>
      </w:r>
      <w:r w:rsidRPr="00313ECB">
        <w:rPr>
          <w:rFonts w:asciiTheme="minorHAnsi" w:hAnsiTheme="minorHAnsi" w:cs="Arial"/>
          <w:color w:val="000000"/>
          <w:sz w:val="20"/>
          <w:szCs w:val="20"/>
          <w:lang w:eastAsia="en-US"/>
        </w:rPr>
        <w:t>stabelecido neste Edital.</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Da sessão pública do Pregão divulgar-se-á Ata no sistema eletrônico.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Da existência de Sócio em Comum.</w:t>
      </w:r>
    </w:p>
    <w:p w:rsidR="00525A73" w:rsidRPr="00313ECB" w:rsidRDefault="00313ECB">
      <w:pPr>
        <w:numPr>
          <w:ilvl w:val="2"/>
          <w:numId w:val="2"/>
        </w:numPr>
        <w:spacing w:before="120" w:after="120" w:line="276" w:lineRule="auto"/>
        <w:ind w:left="1417" w:firstLine="0"/>
        <w:jc w:val="both"/>
        <w:rPr>
          <w:rFonts w:asciiTheme="minorHAnsi" w:hAnsiTheme="minorHAnsi"/>
        </w:rPr>
      </w:pPr>
      <w:r w:rsidRPr="00313ECB">
        <w:rPr>
          <w:rFonts w:asciiTheme="minorHAnsi" w:hAnsiTheme="minorHAnsi" w:cs="Arial"/>
          <w:color w:val="000000"/>
          <w:sz w:val="20"/>
          <w:szCs w:val="20"/>
          <w:lang w:eastAsia="en-US"/>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525A73" w:rsidRPr="00313ECB" w:rsidRDefault="00313ECB">
      <w:pPr>
        <w:pStyle w:val="Nivel01"/>
        <w:numPr>
          <w:ilvl w:val="0"/>
          <w:numId w:val="2"/>
        </w:numPr>
        <w:rPr>
          <w:rFonts w:asciiTheme="minorHAnsi" w:hAnsiTheme="minorHAnsi"/>
        </w:rPr>
      </w:pPr>
      <w:r w:rsidRPr="00313ECB">
        <w:rPr>
          <w:rFonts w:asciiTheme="minorHAnsi" w:hAnsiTheme="minorHAnsi" w:cs="Arial"/>
          <w:lang w:eastAsia="en-US"/>
        </w:rPr>
        <w:lastRenderedPageBreak/>
        <w:t>DA REABERTURA DA SESSÃO PÚBLICA</w:t>
      </w:r>
    </w:p>
    <w:p w:rsidR="00525A73" w:rsidRPr="00313ECB" w:rsidRDefault="00313ECB">
      <w:pPr>
        <w:pStyle w:val="Nivel01"/>
        <w:keepLines w:val="0"/>
        <w:numPr>
          <w:ilvl w:val="1"/>
          <w:numId w:val="2"/>
        </w:numPr>
        <w:spacing w:before="120" w:after="120" w:line="276" w:lineRule="auto"/>
        <w:ind w:left="425"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A sessão pública poderá ser reaberta:</w:t>
      </w:r>
    </w:p>
    <w:p w:rsidR="00525A73" w:rsidRPr="00313ECB" w:rsidRDefault="00313ECB">
      <w:pPr>
        <w:pStyle w:val="Nivel01"/>
        <w:keepLines w:val="0"/>
        <w:numPr>
          <w:ilvl w:val="2"/>
          <w:numId w:val="2"/>
        </w:numPr>
        <w:spacing w:before="120" w:after="120" w:line="276" w:lineRule="auto"/>
        <w:ind w:left="1134"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25A73" w:rsidRPr="00313ECB" w:rsidRDefault="00313ECB">
      <w:pPr>
        <w:pStyle w:val="Nivel01"/>
        <w:keepLines w:val="0"/>
        <w:numPr>
          <w:ilvl w:val="2"/>
          <w:numId w:val="2"/>
        </w:numPr>
        <w:spacing w:before="120" w:after="120" w:line="276" w:lineRule="auto"/>
        <w:ind w:left="1134"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525A73" w:rsidRPr="00313ECB" w:rsidRDefault="00313ECB">
      <w:pPr>
        <w:pStyle w:val="Nivel01"/>
        <w:keepLines w:val="0"/>
        <w:numPr>
          <w:ilvl w:val="1"/>
          <w:numId w:val="2"/>
        </w:numPr>
        <w:spacing w:before="120" w:after="120" w:line="276" w:lineRule="auto"/>
        <w:ind w:left="425"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Todos os licitantes remanescentes deverão ser convocados para acompanhar a sessão reaberta.</w:t>
      </w:r>
    </w:p>
    <w:p w:rsidR="00525A73" w:rsidRPr="00313ECB" w:rsidRDefault="00313ECB">
      <w:pPr>
        <w:pStyle w:val="Nivel01"/>
        <w:keepLines w:val="0"/>
        <w:numPr>
          <w:ilvl w:val="2"/>
          <w:numId w:val="2"/>
        </w:numPr>
        <w:spacing w:before="120" w:after="120" w:line="276" w:lineRule="auto"/>
        <w:ind w:left="1134"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A convocação se dará por meio do sistema eletrônico (“chat”), e-mail, ou, ainda, fac-símile, de acordo com a fase do procedimento licitatório.</w:t>
      </w:r>
    </w:p>
    <w:p w:rsidR="00525A73" w:rsidRPr="00313ECB" w:rsidRDefault="00313ECB">
      <w:pPr>
        <w:pStyle w:val="Nivel01"/>
        <w:keepLines w:val="0"/>
        <w:numPr>
          <w:ilvl w:val="2"/>
          <w:numId w:val="2"/>
        </w:numPr>
        <w:spacing w:before="120" w:after="120" w:line="276" w:lineRule="auto"/>
        <w:ind w:left="1134" w:firstLine="0"/>
        <w:rPr>
          <w:rFonts w:asciiTheme="minorHAnsi" w:eastAsia="MS Mincho" w:hAnsiTheme="minorHAnsi" w:cs="Arial"/>
          <w:b w:val="0"/>
          <w:bCs w:val="0"/>
          <w:color w:val="00000A"/>
        </w:rPr>
      </w:pPr>
      <w:r w:rsidRPr="00313ECB">
        <w:rPr>
          <w:rFonts w:asciiTheme="minorHAnsi" w:eastAsia="MS Mincho" w:hAnsiTheme="minorHAnsi" w:cs="Arial"/>
          <w:b w:val="0"/>
          <w:bCs w:val="0"/>
          <w:color w:val="00000A"/>
        </w:rPr>
        <w:t>A convocação feita por e-mail ou fac-símile dar-se-á de acordo com os dados contidos no SICAF, sendo responsabilidade do licitante manter seus dados cadastrais atualizados.</w:t>
      </w:r>
    </w:p>
    <w:p w:rsidR="00525A73" w:rsidRPr="00313ECB" w:rsidRDefault="00525A73">
      <w:pPr>
        <w:rPr>
          <w:rFonts w:asciiTheme="minorHAnsi" w:eastAsia="MS Mincho" w:hAnsiTheme="minorHAnsi"/>
        </w:rPr>
      </w:pPr>
    </w:p>
    <w:p w:rsidR="00525A73" w:rsidRPr="00313ECB" w:rsidRDefault="00313ECB">
      <w:pPr>
        <w:pStyle w:val="PargrafodaLista"/>
        <w:numPr>
          <w:ilvl w:val="0"/>
          <w:numId w:val="2"/>
        </w:numPr>
        <w:spacing w:before="120" w:after="120" w:line="276" w:lineRule="auto"/>
        <w:ind w:left="0" w:firstLine="0"/>
        <w:jc w:val="both"/>
        <w:rPr>
          <w:rFonts w:asciiTheme="minorHAnsi" w:hAnsiTheme="minorHAnsi"/>
          <w:color w:val="000000"/>
        </w:rPr>
      </w:pPr>
      <w:r w:rsidRPr="00313ECB">
        <w:rPr>
          <w:rFonts w:asciiTheme="minorHAnsi" w:hAnsiTheme="minorHAnsi" w:cs="Arial"/>
          <w:b/>
          <w:color w:val="000000"/>
          <w:sz w:val="20"/>
          <w:szCs w:val="20"/>
          <w:lang w:eastAsia="en-US"/>
        </w:rPr>
        <w:t>DO ENCAMINHAMENTO DA PROPOSTA VENCEDORA</w:t>
      </w:r>
    </w:p>
    <w:p w:rsidR="00525A73" w:rsidRPr="00313ECB" w:rsidRDefault="00313ECB">
      <w:pPr>
        <w:numPr>
          <w:ilvl w:val="1"/>
          <w:numId w:val="2"/>
        </w:numPr>
        <w:spacing w:before="120" w:after="120" w:line="276" w:lineRule="auto"/>
        <w:ind w:left="425" w:firstLine="0"/>
        <w:jc w:val="both"/>
        <w:rPr>
          <w:rFonts w:asciiTheme="minorHAnsi" w:hAnsiTheme="minorHAnsi"/>
          <w:color w:val="000000"/>
        </w:rPr>
      </w:pPr>
      <w:r w:rsidRPr="00313ECB">
        <w:rPr>
          <w:rFonts w:asciiTheme="minorHAnsi" w:hAnsiTheme="minorHAnsi" w:cs="Arial"/>
          <w:color w:val="000000"/>
          <w:sz w:val="20"/>
          <w:szCs w:val="20"/>
        </w:rPr>
        <w:t>A proposta final do licitante declarado vencedor deverá ser encaminhada no prazo de 02</w:t>
      </w:r>
      <w:r w:rsidRPr="00313ECB">
        <w:rPr>
          <w:rFonts w:asciiTheme="minorHAnsi" w:hAnsiTheme="minorHAnsi" w:cs="Arial"/>
          <w:b/>
          <w:bCs/>
          <w:color w:val="000000"/>
          <w:sz w:val="20"/>
          <w:szCs w:val="20"/>
        </w:rPr>
        <w:t xml:space="preserve"> (duas) horas</w:t>
      </w:r>
      <w:r w:rsidRPr="00313ECB">
        <w:rPr>
          <w:rFonts w:asciiTheme="minorHAnsi" w:hAnsiTheme="minorHAnsi" w:cs="Arial"/>
          <w:color w:val="000000"/>
          <w:sz w:val="20"/>
          <w:szCs w:val="20"/>
        </w:rPr>
        <w:t>, a contar da solicitação do Pregoeiro no sistema eletrônico e deverá:</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proofErr w:type="gramStart"/>
      <w:r w:rsidRPr="00313ECB">
        <w:rPr>
          <w:rFonts w:asciiTheme="minorHAnsi" w:hAnsiTheme="minorHAnsi" w:cs="Arial"/>
          <w:color w:val="000000"/>
          <w:sz w:val="20"/>
          <w:szCs w:val="20"/>
        </w:rPr>
        <w:t>ser</w:t>
      </w:r>
      <w:proofErr w:type="gramEnd"/>
      <w:r w:rsidRPr="00313ECB">
        <w:rPr>
          <w:rFonts w:asciiTheme="minorHAnsi" w:hAnsiTheme="minorHAnsi" w:cs="Arial"/>
          <w:color w:val="000000"/>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proofErr w:type="gramStart"/>
      <w:r w:rsidRPr="00313ECB">
        <w:rPr>
          <w:rFonts w:asciiTheme="minorHAnsi" w:hAnsiTheme="minorHAnsi" w:cs="Arial"/>
          <w:color w:val="000000"/>
          <w:sz w:val="20"/>
          <w:szCs w:val="20"/>
        </w:rPr>
        <w:t>apresentar</w:t>
      </w:r>
      <w:proofErr w:type="gramEnd"/>
      <w:r w:rsidRPr="00313ECB">
        <w:rPr>
          <w:rFonts w:asciiTheme="minorHAnsi" w:hAnsiTheme="minorHAnsi" w:cs="Arial"/>
          <w:color w:val="000000"/>
          <w:sz w:val="20"/>
          <w:szCs w:val="20"/>
        </w:rPr>
        <w:t xml:space="preserve"> a planilha de custos e formação de preços, devidamente ajustada ao lance vencedor, em conformidade com o modelo do Anexo VII deste instrumento convocatório</w:t>
      </w:r>
    </w:p>
    <w:p w:rsidR="00525A73" w:rsidRPr="00313ECB" w:rsidRDefault="00313ECB">
      <w:pPr>
        <w:numPr>
          <w:ilvl w:val="2"/>
          <w:numId w:val="2"/>
        </w:numPr>
        <w:spacing w:before="120" w:after="120" w:line="276" w:lineRule="auto"/>
        <w:ind w:left="1134" w:firstLine="0"/>
        <w:jc w:val="both"/>
        <w:rPr>
          <w:rFonts w:asciiTheme="minorHAnsi" w:hAnsiTheme="minorHAnsi" w:cs="Arial"/>
          <w:i/>
          <w:color w:val="FF0000"/>
          <w:sz w:val="20"/>
          <w:szCs w:val="20"/>
        </w:rPr>
      </w:pPr>
      <w:proofErr w:type="gramStart"/>
      <w:r w:rsidRPr="00313ECB">
        <w:rPr>
          <w:rFonts w:asciiTheme="minorHAnsi" w:hAnsiTheme="minorHAnsi" w:cs="Arial"/>
          <w:color w:val="000000"/>
          <w:sz w:val="20"/>
          <w:szCs w:val="20"/>
        </w:rPr>
        <w:t>conter</w:t>
      </w:r>
      <w:proofErr w:type="gramEnd"/>
      <w:r w:rsidRPr="00313ECB">
        <w:rPr>
          <w:rFonts w:asciiTheme="minorHAnsi" w:hAnsiTheme="minorHAnsi" w:cs="Arial"/>
          <w:color w:val="000000"/>
          <w:sz w:val="20"/>
          <w:szCs w:val="20"/>
        </w:rPr>
        <w:t xml:space="preserve"> a indicação do banco, número da conta e agência do licitante vencedor, para fins de pagamento.</w:t>
      </w:r>
    </w:p>
    <w:p w:rsidR="00525A73" w:rsidRPr="00313ECB" w:rsidRDefault="00313ECB">
      <w:pPr>
        <w:numPr>
          <w:ilvl w:val="1"/>
          <w:numId w:val="2"/>
        </w:numPr>
        <w:spacing w:before="120" w:after="120" w:line="276" w:lineRule="auto"/>
        <w:ind w:left="425" w:firstLine="0"/>
        <w:jc w:val="both"/>
        <w:rPr>
          <w:rFonts w:asciiTheme="minorHAnsi" w:hAnsiTheme="minorHAnsi" w:cs="Arial"/>
          <w:i/>
          <w:color w:val="FF0000"/>
          <w:sz w:val="20"/>
          <w:szCs w:val="20"/>
        </w:rPr>
      </w:pPr>
      <w:r w:rsidRPr="00313ECB">
        <w:rPr>
          <w:rFonts w:asciiTheme="minorHAnsi" w:hAnsiTheme="minorHAnsi" w:cs="Arial"/>
          <w:color w:val="000000"/>
          <w:sz w:val="20"/>
          <w:szCs w:val="20"/>
        </w:rPr>
        <w:t>A proposta final deverá ser documentada nos autos e será levada em consideração no decorrer da execução do contrato e aplicação de eventual sanção à Contratada, se for o caso.</w:t>
      </w:r>
    </w:p>
    <w:p w:rsidR="00525A73" w:rsidRPr="00313ECB" w:rsidRDefault="00313ECB">
      <w:pPr>
        <w:numPr>
          <w:ilvl w:val="2"/>
          <w:numId w:val="2"/>
        </w:numPr>
        <w:spacing w:before="120" w:after="120" w:line="276" w:lineRule="auto"/>
        <w:ind w:left="1134" w:firstLine="0"/>
        <w:jc w:val="both"/>
        <w:rPr>
          <w:rFonts w:asciiTheme="minorHAnsi" w:hAnsiTheme="minorHAnsi" w:cs="Arial"/>
          <w:i/>
          <w:color w:val="FF0000"/>
          <w:sz w:val="20"/>
          <w:szCs w:val="20"/>
        </w:rPr>
      </w:pPr>
      <w:r w:rsidRPr="00313ECB">
        <w:rPr>
          <w:rFonts w:asciiTheme="minorHAnsi" w:hAnsiTheme="minorHAnsi" w:cs="Arial"/>
          <w:color w:val="000000"/>
          <w:sz w:val="20"/>
          <w:szCs w:val="20"/>
        </w:rPr>
        <w:t>Todas as especificações do objeto contidas na proposta, tais como marca, modelo, tipo, fabricante e procedência, vinculam a Contratada.</w:t>
      </w:r>
    </w:p>
    <w:p w:rsidR="00525A73" w:rsidRPr="00313ECB" w:rsidRDefault="00313ECB">
      <w:pPr>
        <w:spacing w:after="120" w:line="276" w:lineRule="auto"/>
        <w:ind w:left="360"/>
        <w:jc w:val="both"/>
        <w:rPr>
          <w:rFonts w:asciiTheme="minorHAnsi" w:hAnsiTheme="minorHAnsi" w:cs="Arial"/>
          <w:b/>
          <w:color w:val="000000"/>
          <w:sz w:val="20"/>
          <w:szCs w:val="20"/>
          <w:lang w:eastAsia="en-US"/>
        </w:rPr>
      </w:pPr>
      <w:r w:rsidRPr="00313ECB">
        <w:rPr>
          <w:rFonts w:asciiTheme="minorHAnsi" w:hAnsiTheme="minorHAnsi" w:cs="Arial"/>
          <w:b/>
          <w:color w:val="000000"/>
          <w:sz w:val="20"/>
          <w:szCs w:val="20"/>
          <w:lang w:eastAsia="en-US"/>
        </w:rPr>
        <w:t xml:space="preserve"> </w:t>
      </w:r>
    </w:p>
    <w:p w:rsidR="00525A73" w:rsidRPr="00313ECB" w:rsidRDefault="00313ECB">
      <w:pPr>
        <w:numPr>
          <w:ilvl w:val="0"/>
          <w:numId w:val="2"/>
        </w:numPr>
        <w:spacing w:after="120" w:line="276" w:lineRule="auto"/>
        <w:jc w:val="both"/>
        <w:rPr>
          <w:rFonts w:asciiTheme="minorHAnsi" w:hAnsiTheme="minorHAnsi" w:cs="Arial"/>
          <w:b/>
          <w:color w:val="000000"/>
          <w:sz w:val="20"/>
          <w:szCs w:val="20"/>
          <w:lang w:eastAsia="en-US"/>
        </w:rPr>
      </w:pPr>
      <w:r w:rsidRPr="00313ECB">
        <w:rPr>
          <w:rFonts w:asciiTheme="minorHAnsi" w:hAnsiTheme="minorHAnsi" w:cs="Arial"/>
          <w:b/>
          <w:color w:val="000000"/>
          <w:sz w:val="20"/>
          <w:szCs w:val="20"/>
          <w:lang w:eastAsia="en-US"/>
        </w:rPr>
        <w:t>DOS RECURSOS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Declarado o vencedor e decorr</w:t>
      </w:r>
      <w:r w:rsidRPr="00313ECB">
        <w:rPr>
          <w:rFonts w:asciiTheme="minorHAnsi" w:hAnsiTheme="minorHAnsi" w:cs="Arial"/>
          <w:color w:val="000000"/>
          <w:sz w:val="20"/>
          <w:szCs w:val="20"/>
        </w:rPr>
        <w:t xml:space="preserve">ida a </w:t>
      </w:r>
      <w:r w:rsidRPr="00313ECB">
        <w:rPr>
          <w:rFonts w:asciiTheme="minorHAnsi" w:hAnsiTheme="minorHAnsi" w:cs="Arial"/>
          <w:color w:val="000000"/>
          <w:sz w:val="20"/>
          <w:szCs w:val="20"/>
          <w:lang w:eastAsia="en-US"/>
        </w:rPr>
        <w:t xml:space="preserve">fase de regularização fiscal da licitante qualificada como microempresa ou empresa de pequeno porte, se for o caso, será concedido o </w:t>
      </w:r>
      <w:r w:rsidRPr="00313ECB">
        <w:rPr>
          <w:rFonts w:asciiTheme="minorHAnsi" w:hAnsiTheme="minorHAnsi" w:cs="Arial"/>
          <w:color w:val="000000"/>
          <w:sz w:val="20"/>
          <w:szCs w:val="20"/>
        </w:rPr>
        <w:t>prazo de no mínimo trinta minutos, para que qualquer licitante manifeste a intenção de recorrer, de forma motivada, isto é, indicando contra qual(</w:t>
      </w:r>
      <w:proofErr w:type="spellStart"/>
      <w:r w:rsidRPr="00313ECB">
        <w:rPr>
          <w:rFonts w:asciiTheme="minorHAnsi" w:hAnsiTheme="minorHAnsi" w:cs="Arial"/>
          <w:color w:val="000000"/>
          <w:sz w:val="20"/>
          <w:szCs w:val="20"/>
        </w:rPr>
        <w:t>is</w:t>
      </w:r>
      <w:proofErr w:type="spellEnd"/>
      <w:r w:rsidRPr="00313ECB">
        <w:rPr>
          <w:rFonts w:asciiTheme="minorHAnsi" w:hAnsiTheme="minorHAnsi" w:cs="Arial"/>
          <w:color w:val="000000"/>
          <w:sz w:val="20"/>
          <w:szCs w:val="20"/>
        </w:rPr>
        <w:t>) decisão(</w:t>
      </w:r>
      <w:proofErr w:type="spellStart"/>
      <w:r w:rsidRPr="00313ECB">
        <w:rPr>
          <w:rFonts w:asciiTheme="minorHAnsi" w:hAnsiTheme="minorHAnsi" w:cs="Arial"/>
          <w:color w:val="000000"/>
          <w:sz w:val="20"/>
          <w:szCs w:val="20"/>
        </w:rPr>
        <w:t>ões</w:t>
      </w:r>
      <w:proofErr w:type="spellEnd"/>
      <w:r w:rsidRPr="00313ECB">
        <w:rPr>
          <w:rFonts w:asciiTheme="minorHAnsi" w:hAnsiTheme="minorHAnsi" w:cs="Arial"/>
          <w:color w:val="000000"/>
          <w:sz w:val="20"/>
          <w:szCs w:val="20"/>
        </w:rPr>
        <w:t>) pretende recorrer e por quais motivos, em campo próprio do sistema.</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Havendo quem se manifeste, caberá ao Pregoeiro verificar a tempestividade e a existência de motivação da intenção de recorrer, para decidir se admite ou não o recurso, fundamentadamente.</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Nesse momento o Pregoeiro não adentrará no mérito recursal, mas apenas verificará as condições de admissibilidade do recurso.</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falta de manifestação motivada do licitante quanto à intenção de recorrer importará a decadência desse direito.</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O acolhimento do recurso invalida tão somente os atos insuscetíveis de aproveitamento.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Os autos do processo permanecerão com vista franqueada aos interessados, no endereço constante neste Edital.</w:t>
      </w:r>
    </w:p>
    <w:p w:rsidR="00525A73" w:rsidRPr="00313ECB" w:rsidRDefault="00525A73">
      <w:pPr>
        <w:spacing w:before="120" w:after="120" w:line="276" w:lineRule="auto"/>
        <w:ind w:left="425"/>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 ADJUDICAÇÃO E HOMOLOGAÇÃO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Após a fase recursal, constatada a regularidade dos atos praticados, a autoridade competente homologará o procedimento licitatório. </w:t>
      </w:r>
    </w:p>
    <w:p w:rsidR="00525A73" w:rsidRPr="00313ECB" w:rsidRDefault="00525A73">
      <w:pPr>
        <w:spacing w:before="120" w:after="120" w:line="276" w:lineRule="auto"/>
        <w:ind w:left="425"/>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 ATA DE REGISTRO DE PREÇOS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Homologado o resultado da licitação, terá o adjudicatário o prazo de 05</w:t>
      </w:r>
      <w:r w:rsidRPr="00313ECB">
        <w:rPr>
          <w:rFonts w:asciiTheme="minorHAnsi" w:hAnsiTheme="minorHAnsi" w:cs="Arial"/>
          <w:color w:val="FF0000"/>
          <w:sz w:val="20"/>
          <w:szCs w:val="20"/>
        </w:rPr>
        <w:t xml:space="preserve"> </w:t>
      </w:r>
      <w:r w:rsidRPr="00313ECB">
        <w:rPr>
          <w:rFonts w:asciiTheme="minorHAnsi" w:hAnsiTheme="minorHAnsi" w:cs="Arial"/>
          <w:color w:val="000000"/>
          <w:sz w:val="20"/>
          <w:szCs w:val="20"/>
        </w:rPr>
        <w:t>(cinco)</w:t>
      </w:r>
      <w:r w:rsidRPr="00313ECB">
        <w:rPr>
          <w:rFonts w:asciiTheme="minorHAnsi" w:hAnsiTheme="minorHAnsi" w:cs="Arial"/>
          <w:color w:val="FF0000"/>
          <w:sz w:val="20"/>
          <w:szCs w:val="20"/>
        </w:rPr>
        <w:t xml:space="preserve"> </w:t>
      </w:r>
      <w:r w:rsidRPr="00313ECB">
        <w:rPr>
          <w:rFonts w:asciiTheme="minorHAnsi" w:hAnsiTheme="minorHAnsi"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Alternativamente à convocação para comparecer perante o órgão ou entidade</w:t>
      </w:r>
      <w:r w:rsidRPr="00313ECB">
        <w:rPr>
          <w:rFonts w:asciiTheme="minorHAnsi" w:hAnsiTheme="minorHAnsi" w:cs="Arial"/>
          <w:i/>
          <w:color w:val="000000"/>
          <w:sz w:val="20"/>
          <w:szCs w:val="20"/>
        </w:rPr>
        <w:t xml:space="preserve"> </w:t>
      </w:r>
      <w:r w:rsidRPr="00313ECB">
        <w:rPr>
          <w:rFonts w:asciiTheme="minorHAnsi" w:hAnsiTheme="minorHAnsi" w:cs="Arial"/>
          <w:color w:val="000000"/>
          <w:sz w:val="20"/>
          <w:szCs w:val="20"/>
        </w:rPr>
        <w:t xml:space="preserve">para a assinatura da Ata de Registro de Preços, a Administração poderá encaminhá-la para assinatura, </w:t>
      </w:r>
      <w:r w:rsidRPr="00313ECB">
        <w:rPr>
          <w:rFonts w:asciiTheme="minorHAnsi" w:hAnsiTheme="minorHAnsi" w:cs="Arial"/>
          <w:bCs/>
          <w:iCs/>
          <w:color w:val="000000"/>
          <w:sz w:val="20"/>
          <w:szCs w:val="20"/>
        </w:rPr>
        <w:t>mediante correspondência postal com aviso de recebimento (AR) ou meio eletrônico, para que seja assinada no prazo de 05 (cinco) dias, a contar da data de seu recebimento.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313ECB">
        <w:rPr>
          <w:rFonts w:asciiTheme="minorHAnsi" w:hAnsiTheme="minorHAnsi" w:cs="Arial"/>
          <w:color w:val="000000"/>
          <w:sz w:val="20"/>
          <w:szCs w:val="20"/>
        </w:rPr>
        <w:t>ns</w:t>
      </w:r>
      <w:proofErr w:type="spellEnd"/>
      <w:r w:rsidRPr="00313ECB">
        <w:rPr>
          <w:rFonts w:asciiTheme="minorHAnsi" w:hAnsiTheme="minorHAnsi" w:cs="Arial"/>
          <w:color w:val="000000"/>
          <w:sz w:val="20"/>
          <w:szCs w:val="20"/>
        </w:rPr>
        <w:t>), as respectivas quantidades, preços registrados e demais condições.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25A73" w:rsidRPr="00313ECB" w:rsidRDefault="00525A73">
      <w:pPr>
        <w:spacing w:before="120" w:after="120" w:line="276" w:lineRule="auto"/>
        <w:ind w:left="2990"/>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rPr>
      </w:pPr>
      <w:r w:rsidRPr="00313ECB">
        <w:rPr>
          <w:rFonts w:asciiTheme="minorHAnsi" w:hAnsiTheme="minorHAnsi" w:cs="Arial"/>
          <w:b/>
          <w:color w:val="000000"/>
          <w:sz w:val="20"/>
          <w:szCs w:val="20"/>
        </w:rPr>
        <w:lastRenderedPageBreak/>
        <w:t xml:space="preserve">14. GARANTIA DE EXECUÇÃO </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 xml:space="preserve">. A inobservância do prazo fixado para apresentação da garantia acarretará a aplicação de multa de 0,07% (sete centésimos por cento) do valor do contrato por dia de atraso, até o máximo de 2% (dois por cento).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 xml:space="preserve"> O atraso superior a 30 (trinta) dias autoriza a Administração a aplicar as sanções cabíveis;</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A validade da garantia, qualquer que seja a modalidade escolhida, deverá abranger um período de mais 3 (três) meses após o término da vigência contratual.</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 xml:space="preserve">A garantia assegurará, qualquer que seja a modalidade escolhida, o pagamento de: </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rPr>
        <w:t>prejuízos</w:t>
      </w:r>
      <w:proofErr w:type="gramEnd"/>
      <w:r w:rsidRPr="00313ECB">
        <w:rPr>
          <w:rFonts w:asciiTheme="minorHAnsi" w:hAnsiTheme="minorHAnsi" w:cs="Arial"/>
          <w:color w:val="000000"/>
          <w:sz w:val="20"/>
          <w:szCs w:val="20"/>
        </w:rPr>
        <w:t xml:space="preserve"> advindos do não cumprimento do objeto do contrato; </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rPr>
        <w:t>prejuízos</w:t>
      </w:r>
      <w:proofErr w:type="gramEnd"/>
      <w:r w:rsidRPr="00313ECB">
        <w:rPr>
          <w:rFonts w:asciiTheme="minorHAnsi" w:hAnsiTheme="minorHAnsi" w:cs="Arial"/>
          <w:color w:val="000000"/>
          <w:sz w:val="20"/>
          <w:szCs w:val="20"/>
        </w:rPr>
        <w:t xml:space="preserve"> diretos causados à Administração decorrentes de culpa ou dolo durante a execução do contrato;</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rPr>
        <w:t>multas</w:t>
      </w:r>
      <w:proofErr w:type="gramEnd"/>
      <w:r w:rsidRPr="00313ECB">
        <w:rPr>
          <w:rFonts w:asciiTheme="minorHAnsi" w:hAnsiTheme="minorHAnsi" w:cs="Arial"/>
          <w:color w:val="000000"/>
          <w:sz w:val="20"/>
          <w:szCs w:val="20"/>
        </w:rPr>
        <w:t xml:space="preserve"> moratórias e punitivas aplicadas pela Administração à contratada. </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 xml:space="preserve">A garantia em dinheiro deverá ser efetuada em favor da Contratante, em conta específica na Caixa Econômica Federal, com correção monetária. </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 xml:space="preserve">No caso de alteração do valor do contrato, ou prorrogação de sua vigência, a garantia deverá ser ajustada à nova situação ou renovada, seguindo os mesmos parâmetros utilizados quando da contratação. </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Se o valor da garantia for utilizado total ou parcialmente em pagamento de qualquer obrigação, a Contratada obriga-se a fazer a respectiva reposição no prazo máximo de 05 (cinco) dias úteis, contados da data em que for notificada.</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A Contratante executará a garantia na forma prevista na legislação que rege a matéria.</w:t>
      </w:r>
    </w:p>
    <w:p w:rsidR="00525A73" w:rsidRPr="00313ECB" w:rsidRDefault="00313ECB">
      <w:pPr>
        <w:numPr>
          <w:ilvl w:val="1"/>
          <w:numId w:val="2"/>
        </w:numPr>
        <w:spacing w:before="120" w:after="120" w:line="276" w:lineRule="auto"/>
        <w:ind w:left="397" w:firstLine="0"/>
        <w:jc w:val="both"/>
        <w:rPr>
          <w:rFonts w:asciiTheme="minorHAnsi" w:hAnsiTheme="minorHAnsi"/>
        </w:rPr>
      </w:pPr>
      <w:r w:rsidRPr="00313ECB">
        <w:rPr>
          <w:rFonts w:asciiTheme="minorHAnsi" w:hAnsiTheme="minorHAnsi" w:cs="Arial"/>
          <w:color w:val="000000"/>
          <w:sz w:val="20"/>
          <w:szCs w:val="20"/>
        </w:rPr>
        <w:t>Será considerada extinta a garantia:</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rPr>
        <w:t>com</w:t>
      </w:r>
      <w:proofErr w:type="gramEnd"/>
      <w:r w:rsidRPr="00313ECB">
        <w:rPr>
          <w:rFonts w:asciiTheme="minorHAnsi" w:hAnsiTheme="minorHAnsi" w:cs="Arial"/>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525A73" w:rsidRPr="00313ECB" w:rsidRDefault="00313ECB">
      <w:pPr>
        <w:numPr>
          <w:ilvl w:val="2"/>
          <w:numId w:val="2"/>
        </w:numPr>
        <w:spacing w:before="120" w:after="120" w:line="276" w:lineRule="auto"/>
        <w:ind w:left="1134" w:firstLine="0"/>
        <w:jc w:val="both"/>
        <w:rPr>
          <w:rFonts w:asciiTheme="minorHAnsi" w:hAnsiTheme="minorHAnsi"/>
        </w:rPr>
      </w:pPr>
      <w:proofErr w:type="gramStart"/>
      <w:r w:rsidRPr="00313ECB">
        <w:rPr>
          <w:rFonts w:asciiTheme="minorHAnsi" w:hAnsiTheme="minorHAnsi" w:cs="Arial"/>
          <w:color w:val="000000"/>
          <w:sz w:val="20"/>
          <w:szCs w:val="20"/>
        </w:rPr>
        <w:t>no</w:t>
      </w:r>
      <w:proofErr w:type="gramEnd"/>
      <w:r w:rsidRPr="00313ECB">
        <w:rPr>
          <w:rFonts w:asciiTheme="minorHAnsi" w:hAnsiTheme="minorHAnsi" w:cs="Arial"/>
          <w:color w:val="000000"/>
          <w:sz w:val="20"/>
          <w:szCs w:val="20"/>
        </w:rPr>
        <w:t xml:space="preserve"> prazo de três meses após o término da vigência, caso a Contratante não comunique a ocorrência de sinistros.</w:t>
      </w:r>
    </w:p>
    <w:p w:rsidR="00525A73" w:rsidRPr="00313ECB" w:rsidRDefault="00525A73">
      <w:pPr>
        <w:spacing w:before="120" w:after="120" w:line="276" w:lineRule="auto"/>
        <w:ind w:left="2990"/>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rPr>
      </w:pPr>
      <w:r w:rsidRPr="00313ECB">
        <w:rPr>
          <w:rFonts w:asciiTheme="minorHAnsi" w:hAnsiTheme="minorHAnsi" w:cs="Arial"/>
          <w:b/>
          <w:color w:val="000000"/>
          <w:sz w:val="20"/>
          <w:szCs w:val="20"/>
        </w:rPr>
        <w:t>DO TERMO DE CONTRATO OU INSTRUMENTO EQUIVALENTE</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Dentro da validade da Ata de Registro de Preços, o fornecedor registrado poderá ser convocado para assinar o Termo de Contrato ou aceitar/retirar o </w:t>
      </w:r>
      <w:r w:rsidRPr="00313ECB">
        <w:rPr>
          <w:rFonts w:asciiTheme="minorHAnsi" w:hAnsiTheme="minorHAnsi" w:cs="Arial"/>
          <w:bCs/>
          <w:iCs/>
          <w:color w:val="000000"/>
          <w:sz w:val="20"/>
          <w:szCs w:val="20"/>
        </w:rPr>
        <w:t xml:space="preserve">instrumento equivalente (Nota de Empenho/Carta Contrato/Autorização). O prazo de vigência da contratação é de 12 (doze) </w:t>
      </w:r>
      <w:proofErr w:type="gramStart"/>
      <w:r w:rsidRPr="00313ECB">
        <w:rPr>
          <w:rFonts w:asciiTheme="minorHAnsi" w:hAnsiTheme="minorHAnsi" w:cs="Arial"/>
          <w:bCs/>
          <w:iCs/>
          <w:color w:val="000000"/>
          <w:sz w:val="20"/>
          <w:szCs w:val="20"/>
        </w:rPr>
        <w:t>messes contados</w:t>
      </w:r>
      <w:proofErr w:type="gramEnd"/>
      <w:r w:rsidRPr="00313ECB">
        <w:rPr>
          <w:rFonts w:asciiTheme="minorHAnsi" w:hAnsiTheme="minorHAnsi" w:cs="Arial"/>
          <w:bCs/>
          <w:iCs/>
          <w:color w:val="000000"/>
          <w:sz w:val="20"/>
          <w:szCs w:val="20"/>
        </w:rPr>
        <w:t xml:space="preserve"> da assinatura do pacto, prorrogável na forma do art. 57, § 1°, da Lei n° 8.666/93.</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Previamente à contratação, a Administração promotora da licitação realizará consulta ao SICAF para identificar eventual proibição da licitante adjudicatária de contratar com o Poder Público.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Alternativamente à convocação para comparecer perante o órgão ou entidade</w:t>
      </w:r>
      <w:r w:rsidRPr="00313ECB">
        <w:rPr>
          <w:rFonts w:asciiTheme="minorHAnsi" w:hAnsiTheme="minorHAnsi" w:cs="Arial"/>
          <w:i/>
          <w:color w:val="000000"/>
          <w:sz w:val="20"/>
          <w:szCs w:val="20"/>
        </w:rPr>
        <w:t xml:space="preserve"> </w:t>
      </w:r>
      <w:r w:rsidRPr="00313ECB">
        <w:rPr>
          <w:rFonts w:asciiTheme="minorHAnsi" w:hAnsiTheme="minorHAnsi" w:cs="Arial"/>
          <w:color w:val="000000"/>
          <w:sz w:val="20"/>
          <w:szCs w:val="20"/>
        </w:rPr>
        <w:t>para a assinatura do Termo de Contrato ou aceite/retirada do instrumento equivalente, a Administração poderá encaminhá-lo para assinatura ou aceite da Adjudicatária,</w:t>
      </w:r>
      <w:r w:rsidRPr="00313ECB">
        <w:rPr>
          <w:rFonts w:asciiTheme="minorHAnsi" w:hAnsiTheme="minorHAnsi" w:cs="Arial"/>
          <w:bCs/>
          <w:iCs/>
          <w:color w:val="000000"/>
          <w:sz w:val="20"/>
          <w:szCs w:val="20"/>
        </w:rPr>
        <w:t xml:space="preserve"> mediante correspondência postal com aviso de recebimento (AR) ou meio eletrônico, para que seja assinado/retirado no prazo de</w:t>
      </w:r>
      <w:r w:rsidRPr="00313ECB">
        <w:rPr>
          <w:rFonts w:asciiTheme="minorHAnsi" w:hAnsiTheme="minorHAnsi" w:cs="Arial"/>
          <w:bCs/>
          <w:iCs/>
          <w:color w:val="FF0000"/>
          <w:sz w:val="20"/>
          <w:szCs w:val="20"/>
        </w:rPr>
        <w:t xml:space="preserve"> </w:t>
      </w:r>
      <w:r w:rsidRPr="00313ECB">
        <w:rPr>
          <w:rFonts w:asciiTheme="minorHAnsi" w:hAnsiTheme="minorHAnsi" w:cs="Arial"/>
          <w:bCs/>
          <w:iCs/>
          <w:color w:val="000000"/>
          <w:sz w:val="20"/>
          <w:szCs w:val="20"/>
        </w:rPr>
        <w:t>05 (cinco) dias, a contar da data de seu recebimento</w:t>
      </w:r>
      <w:r w:rsidRPr="00313ECB">
        <w:rPr>
          <w:rFonts w:asciiTheme="minorHAnsi" w:hAnsiTheme="minorHAnsi" w:cs="Arial"/>
          <w:bCs/>
          <w:i/>
          <w:iCs/>
          <w:color w:val="000000"/>
          <w:sz w:val="20"/>
          <w:szCs w:val="20"/>
        </w:rPr>
        <w:t xml:space="preserve">.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O prazo previsto no subitem anterior poderá ser prorrogado, por igual período, por solicitação justificada do fornecedor registrado e aceita pela Administração.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Antes da assinatura do Termo de Contrato ou aceite do instrumento equivalente, a Administração realizará consulta “</w:t>
      </w:r>
      <w:proofErr w:type="spellStart"/>
      <w:r w:rsidRPr="00313ECB">
        <w:rPr>
          <w:rFonts w:asciiTheme="minorHAnsi" w:hAnsiTheme="minorHAnsi" w:cs="Arial"/>
          <w:color w:val="000000"/>
          <w:sz w:val="20"/>
          <w:szCs w:val="20"/>
        </w:rPr>
        <w:t>on</w:t>
      </w:r>
      <w:proofErr w:type="spellEnd"/>
      <w:r w:rsidRPr="00313ECB">
        <w:rPr>
          <w:rFonts w:asciiTheme="minorHAnsi" w:hAnsiTheme="minorHAnsi" w:cs="Arial"/>
          <w:color w:val="000000"/>
          <w:sz w:val="20"/>
          <w:szCs w:val="20"/>
        </w:rPr>
        <w:t xml:space="preserve"> </w:t>
      </w:r>
      <w:proofErr w:type="spellStart"/>
      <w:r w:rsidRPr="00313ECB">
        <w:rPr>
          <w:rFonts w:asciiTheme="minorHAnsi" w:hAnsiTheme="minorHAnsi" w:cs="Arial"/>
          <w:color w:val="000000"/>
          <w:sz w:val="20"/>
          <w:szCs w:val="20"/>
        </w:rPr>
        <w:t>line</w:t>
      </w:r>
      <w:proofErr w:type="spellEnd"/>
      <w:r w:rsidRPr="00313ECB">
        <w:rPr>
          <w:rFonts w:asciiTheme="minorHAnsi" w:hAnsiTheme="minorHAnsi" w:cs="Arial"/>
          <w:color w:val="000000"/>
          <w:sz w:val="20"/>
          <w:szCs w:val="20"/>
        </w:rPr>
        <w:t xml:space="preserve">” ao </w:t>
      </w:r>
      <w:proofErr w:type="spellStart"/>
      <w:r w:rsidRPr="00313ECB">
        <w:rPr>
          <w:rFonts w:asciiTheme="minorHAnsi" w:hAnsiTheme="minorHAnsi" w:cs="Arial"/>
          <w:color w:val="000000"/>
          <w:sz w:val="20"/>
          <w:szCs w:val="20"/>
        </w:rPr>
        <w:t>SICAF</w:t>
      </w:r>
      <w:proofErr w:type="spellEnd"/>
      <w:r w:rsidRPr="00313ECB">
        <w:rPr>
          <w:rFonts w:asciiTheme="minorHAnsi" w:hAnsiTheme="minorHAnsi" w:cs="Arial"/>
          <w:color w:val="000000"/>
          <w:sz w:val="20"/>
          <w:szCs w:val="20"/>
        </w:rPr>
        <w:t>, bem como ao Cadastro Informativo de Créditos não Quitados – CADIN, cujos resultados serão anexados aos autos do processo.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525A73" w:rsidRPr="00313ECB" w:rsidRDefault="00525A73">
      <w:pPr>
        <w:spacing w:before="120" w:after="120" w:line="276" w:lineRule="auto"/>
        <w:ind w:left="2990"/>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DO PREÇO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Os preços são fixos e irreajustáveis.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contratações decorrentes da Ata de Registro de Preços poderão sofrer alterações, obedecidas às disposições contidas no art. 65 da Lei n° 8.666/93 e no Decreto nº 7.892, de 2013.</w:t>
      </w:r>
    </w:p>
    <w:p w:rsidR="00525A73" w:rsidRPr="00313ECB" w:rsidRDefault="00525A73">
      <w:pPr>
        <w:spacing w:after="120" w:line="276" w:lineRule="auto"/>
        <w:ind w:left="568"/>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 ENTREGA E DO RECEBIMENTO DO OBJETO E DA FISCALIZAÇÃO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Os critérios de recebimento e aceitação do objeto e de fiscalização estão previstos no Termo de Referência e abaixo transcritos: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 O material deverá ser entregue em, no máximo, 15 (quinze) dias após o envio da nota de empenho ou Autorização de Fornecimento (AF), conforme modelo do anexo A, à empresa Contratada;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 O material do Órgão Gerenciador deverá ser entregue no almoxarifado da Prefeitura Universitária, localizada no Campus I da Universidade Federal da Paraíba, Cidade Universitária, João Pessoa/PB, CEP 58051–900, no horário de 07:00 h às 12:00 h e das 14:00 h às 17:00 h. Para os demais órgãos participantes, o material deverá ser entregue nas respectivas unidades. Em ambos os casos, não será considerado qualquer custo adicional de entrega;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Endereços dos órgãos participantes: </w:t>
      </w:r>
    </w:p>
    <w:p w:rsidR="00525A73" w:rsidRPr="00313ECB" w:rsidRDefault="00313ECB">
      <w:pPr>
        <w:spacing w:before="120" w:after="120" w:line="276" w:lineRule="auto"/>
        <w:ind w:left="2422"/>
        <w:jc w:val="both"/>
        <w:rPr>
          <w:rFonts w:asciiTheme="minorHAnsi" w:hAnsiTheme="minorHAnsi"/>
        </w:rPr>
      </w:pPr>
      <w:r w:rsidRPr="00313ECB">
        <w:rPr>
          <w:rFonts w:asciiTheme="minorHAnsi" w:hAnsiTheme="minorHAnsi" w:cs="Arial"/>
          <w:color w:val="000000"/>
          <w:sz w:val="20"/>
          <w:szCs w:val="20"/>
          <w:lang w:eastAsia="en-US"/>
        </w:rPr>
        <w:t xml:space="preserve">Nome do Órgão; Rua Logradouro, Número, Complemento, Bairro; </w:t>
      </w:r>
      <w:proofErr w:type="gramStart"/>
      <w:r w:rsidRPr="00313ECB">
        <w:rPr>
          <w:rFonts w:asciiTheme="minorHAnsi" w:hAnsiTheme="minorHAnsi" w:cs="Arial"/>
          <w:color w:val="000000"/>
          <w:sz w:val="20"/>
          <w:szCs w:val="20"/>
          <w:lang w:eastAsia="en-US"/>
        </w:rPr>
        <w:t>CEP  Cidade</w:t>
      </w:r>
      <w:proofErr w:type="gramEnd"/>
      <w:r w:rsidRPr="00313ECB">
        <w:rPr>
          <w:rFonts w:asciiTheme="minorHAnsi" w:hAnsiTheme="minorHAnsi" w:cs="Arial"/>
          <w:color w:val="000000"/>
          <w:sz w:val="20"/>
          <w:szCs w:val="20"/>
          <w:lang w:eastAsia="en-US"/>
        </w:rPr>
        <w:t>/UF</w:t>
      </w:r>
    </w:p>
    <w:p w:rsidR="00525A73" w:rsidRPr="00313ECB" w:rsidRDefault="00313ECB">
      <w:pPr>
        <w:numPr>
          <w:ilvl w:val="1"/>
          <w:numId w:val="2"/>
        </w:numPr>
        <w:spacing w:before="120" w:after="120" w:line="276" w:lineRule="auto"/>
        <w:ind w:left="425" w:firstLine="0"/>
        <w:jc w:val="both"/>
        <w:rPr>
          <w:rFonts w:asciiTheme="minorHAnsi" w:hAnsiTheme="minorHAnsi"/>
          <w:b/>
          <w:bCs/>
        </w:rPr>
      </w:pPr>
      <w:r w:rsidRPr="00313ECB">
        <w:rPr>
          <w:rFonts w:asciiTheme="minorHAnsi" w:hAnsiTheme="minorHAnsi" w:cs="Arial"/>
          <w:b/>
          <w:bCs/>
          <w:color w:val="000000"/>
          <w:sz w:val="20"/>
          <w:szCs w:val="20"/>
          <w:lang w:eastAsia="en-US"/>
        </w:rPr>
        <w:t xml:space="preserve">DAS OBRIGAÇÕES DO FORNECEDOR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lastRenderedPageBreak/>
        <w:t xml:space="preserve">O fornecedor obriga–se a proceder à entrega do material na data prevista, em perfeito estado e sem alterações na embalagem e/ou conteúdo do mesmo.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Entregar o material com observância das especificações previstas neste Termo de Referência, responsabilizando–se pela troca, no prazo máximo de 7 (sete) dias úteis, dos itens que porventura estejam fora das especificações, independentemente do motivo alegado.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A inobservância ao disposto no subitem 7.2, implicará no não pagamento do valor devido ao Fornecedor, até que ocorra a necessária regularização.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A contratada deverá fornecer todos os materiais e ferramentais necessários à boa execução dos serviços. </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Os equipamentos deverão ser identificados quanto ao tipo e ao uso, de acordo com as normas, por etiquetas e placas de sinalização, que deverão ser entregues pela contratada. </w:t>
      </w:r>
    </w:p>
    <w:p w:rsidR="00525A73" w:rsidRPr="00313ECB" w:rsidRDefault="00525A73">
      <w:pPr>
        <w:spacing w:before="120" w:after="120" w:line="276" w:lineRule="auto"/>
        <w:ind w:left="2990"/>
        <w:jc w:val="both"/>
        <w:rPr>
          <w:rFonts w:asciiTheme="minorHAnsi" w:hAnsiTheme="minorHAnsi" w:cs="Arial"/>
          <w:color w:val="000000"/>
          <w:sz w:val="20"/>
          <w:szCs w:val="20"/>
          <w:lang w:eastAsia="en-US"/>
        </w:rPr>
      </w:pPr>
    </w:p>
    <w:p w:rsidR="00525A73" w:rsidRPr="00313ECB" w:rsidRDefault="00313ECB">
      <w:pPr>
        <w:numPr>
          <w:ilvl w:val="1"/>
          <w:numId w:val="2"/>
        </w:numPr>
        <w:spacing w:before="120" w:after="120" w:line="276" w:lineRule="auto"/>
        <w:ind w:left="425" w:firstLine="0"/>
        <w:jc w:val="both"/>
        <w:rPr>
          <w:rFonts w:asciiTheme="minorHAnsi" w:hAnsiTheme="minorHAnsi"/>
          <w:b/>
          <w:bCs/>
        </w:rPr>
      </w:pPr>
      <w:r w:rsidRPr="00313ECB">
        <w:rPr>
          <w:rFonts w:asciiTheme="minorHAnsi" w:hAnsiTheme="minorHAnsi" w:cs="Arial"/>
          <w:b/>
          <w:bCs/>
          <w:color w:val="000000"/>
          <w:sz w:val="20"/>
          <w:szCs w:val="20"/>
          <w:lang w:eastAsia="en-US"/>
        </w:rPr>
        <w:t>CRITÉRIOS DE ACEITAÇÃO DO OBJETO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O prazo de validade dos equipamentos relacionados nos itens 1, 2, 3 e 8, devem obedecer aos seguintes prazos mínimos de validade (vencimento):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Item 1: prazo de validade mínimo de 10 meses na data da entrega, para produtos com validade máxima de 12 meses;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Item 2: prazo de validade mínimo de 48 meses na data da entrega, para produtos com validade máxima de 60 meses;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Item 3: prazo de validade mínimo de 10 meses na data da entrega, para produtos com validade máxima de 18 meses;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Item 8: para produtos com previsão de vida útil de bateria entre 2 (dois) e 3 (três) anos, deverão ser entregues em período máximo de até 12 meses da data da fabricação;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 xml:space="preserve">Os bens serão recebidos provisoriamente no prazo de 5 (cinco) dias úteis, pelo (a) responsável pelo acompanhamento e fiscalização do contrato ou pelo setor de almoxarifado do órgão solicitante, para efeito de posterior verificação de sua conformidade, com as especificações constantes neste Termo de Referência e na proposta. </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Os bens poderão ser rejeitados, no todo ou em parte, quando em desacordo com as especificações constantes neste Termo de Referência e na proposta, devendo ser substituídos no prazo de 7 (sete) dias úteis, a contar da notificação da contratada, às suas custas, sem prejuízo da aplicação das penalidades.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Os bens serão recebidos definitivamente em até 10 (dez) dias úteis, contados do recebimento provisório, após a verificação da qualidade e quantidade do material e consequente aceitação mediante termo circunstanciado.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O recebimento provisório ou definitivo do objeto não exclui a responsabilidade da contratada pelos prejuízos resultantes da incorreta execução do contrato.</w:t>
      </w:r>
    </w:p>
    <w:p w:rsidR="00525A73" w:rsidRPr="00313ECB" w:rsidRDefault="00525A73">
      <w:pPr>
        <w:spacing w:before="120" w:after="120" w:line="276" w:lineRule="auto"/>
        <w:ind w:left="1713"/>
        <w:jc w:val="both"/>
        <w:rPr>
          <w:rFonts w:asciiTheme="minorHAnsi" w:hAnsiTheme="minorHAnsi" w:cs="Arial"/>
          <w:color w:val="000000"/>
          <w:sz w:val="20"/>
          <w:szCs w:val="20"/>
          <w:lang w:eastAsia="en-US"/>
        </w:rPr>
      </w:pPr>
    </w:p>
    <w:p w:rsidR="00525A73" w:rsidRPr="00313ECB" w:rsidRDefault="00313ECB">
      <w:pPr>
        <w:numPr>
          <w:ilvl w:val="0"/>
          <w:numId w:val="2"/>
        </w:numPr>
        <w:spacing w:before="120" w:after="120" w:line="276" w:lineRule="auto"/>
        <w:ind w:left="425" w:firstLine="0"/>
        <w:jc w:val="both"/>
        <w:rPr>
          <w:rFonts w:asciiTheme="minorHAnsi" w:hAnsiTheme="minorHAnsi"/>
          <w:b/>
          <w:bCs/>
        </w:rPr>
      </w:pPr>
      <w:r w:rsidRPr="00313ECB">
        <w:rPr>
          <w:rFonts w:asciiTheme="minorHAnsi" w:hAnsiTheme="minorHAnsi" w:cs="Arial"/>
          <w:b/>
          <w:bCs/>
          <w:color w:val="000000"/>
          <w:sz w:val="20"/>
          <w:szCs w:val="20"/>
          <w:lang w:eastAsia="en-US"/>
        </w:rPr>
        <w:lastRenderedPageBreak/>
        <w:t>DAS OBRIGAÇÕES DA CONTRATANTE E DA CONTRATADA</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 xml:space="preserve">As obrigações da Contratante e da Contratada são as estabelecidas no Termo de Referência e abaixo transcritas. </w:t>
      </w:r>
    </w:p>
    <w:p w:rsidR="00525A73" w:rsidRPr="00313ECB" w:rsidRDefault="00525A73">
      <w:pPr>
        <w:spacing w:before="120" w:after="120" w:line="276" w:lineRule="auto"/>
        <w:ind w:left="1713"/>
        <w:jc w:val="both"/>
        <w:rPr>
          <w:rFonts w:asciiTheme="minorHAnsi" w:hAnsiTheme="minorHAnsi" w:cs="Arial"/>
          <w:color w:val="000000"/>
          <w:sz w:val="20"/>
          <w:szCs w:val="20"/>
          <w:lang w:eastAsia="en-US"/>
        </w:rPr>
      </w:pPr>
    </w:p>
    <w:p w:rsidR="00525A73" w:rsidRPr="00313ECB" w:rsidRDefault="00313ECB">
      <w:pPr>
        <w:numPr>
          <w:ilvl w:val="1"/>
          <w:numId w:val="2"/>
        </w:numPr>
        <w:spacing w:before="120" w:after="120" w:line="276" w:lineRule="auto"/>
        <w:ind w:left="425" w:firstLine="0"/>
        <w:jc w:val="both"/>
        <w:rPr>
          <w:rFonts w:asciiTheme="minorHAnsi" w:hAnsiTheme="minorHAnsi"/>
          <w:b/>
          <w:bCs/>
        </w:rPr>
      </w:pPr>
      <w:r w:rsidRPr="00313ECB">
        <w:rPr>
          <w:rFonts w:asciiTheme="minorHAnsi" w:hAnsiTheme="minorHAnsi" w:cs="Arial"/>
          <w:b/>
          <w:bCs/>
          <w:color w:val="000000"/>
          <w:sz w:val="20"/>
          <w:szCs w:val="20"/>
          <w:lang w:eastAsia="en-US"/>
        </w:rPr>
        <w:t xml:space="preserve">DAS OBRIGAÇÕES DA CONTRATANTE </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São obrigações da Contratante:</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Receber o objeto no prazo e condições estabelecidas no Edital e seus anexos;</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Verificar minuciosamente, no prazo fixado, a conformidade dos bens recebidos provisoriamente com as especificações constantes do Edital e da proposta, para fins de aceitação e recebimento definitivo;</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Comunicar à Contratada, por escrito, sobre imperfeições, falhas ou irregularidades verificadas no objeto fornecido, para que seja substituído, reparado ou corrigido;</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Acompanhar e fiscalizar o cumprimento das obrigações da Contratada, através de comissão/servidor especialmente designado;</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Efetuar o pagamento à Contratada no valor correspondente ao fornecimento do objeto, no prazo e forma estabelecidos no Edital e seus anexos;</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A Administração realizará pesquisa de preços periodicamente, em prazo não superior a 180 (cento e oitenta) dias, a fim de verificar a vantajosidade dos preços registrados em Ata conforme disposto no art. 2º, §4º da IN SLTI/MPOG n. 05, de 2014.</w:t>
      </w:r>
    </w:p>
    <w:p w:rsidR="00525A73" w:rsidRPr="00313ECB" w:rsidRDefault="00525A73">
      <w:pPr>
        <w:spacing w:before="120" w:after="120" w:line="276" w:lineRule="auto"/>
        <w:ind w:left="2706"/>
        <w:jc w:val="both"/>
        <w:rPr>
          <w:rFonts w:asciiTheme="minorHAnsi" w:hAnsiTheme="minorHAnsi" w:cs="Arial"/>
          <w:color w:val="000000"/>
          <w:sz w:val="20"/>
          <w:szCs w:val="20"/>
          <w:lang w:eastAsia="en-US"/>
        </w:rPr>
      </w:pPr>
    </w:p>
    <w:p w:rsidR="00525A73" w:rsidRPr="00313ECB" w:rsidRDefault="00313ECB">
      <w:pPr>
        <w:numPr>
          <w:ilvl w:val="1"/>
          <w:numId w:val="2"/>
        </w:numPr>
        <w:spacing w:before="120" w:after="120" w:line="276" w:lineRule="auto"/>
        <w:ind w:left="425" w:firstLine="0"/>
        <w:jc w:val="both"/>
        <w:rPr>
          <w:rFonts w:asciiTheme="minorHAnsi" w:hAnsiTheme="minorHAnsi"/>
          <w:b/>
          <w:bCs/>
          <w:color w:val="000000"/>
        </w:rPr>
      </w:pPr>
      <w:r w:rsidRPr="00313ECB">
        <w:rPr>
          <w:rFonts w:asciiTheme="minorHAnsi" w:hAnsiTheme="minorHAnsi" w:cs="Arial"/>
          <w:b/>
          <w:bCs/>
          <w:color w:val="000000"/>
          <w:sz w:val="20"/>
          <w:szCs w:val="20"/>
          <w:lang w:eastAsia="en-US"/>
        </w:rPr>
        <w:t xml:space="preserve">DAS OBRIGAÇÕES DA CONTRATADA </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A Contratada deve cumprir todas as obrigações constantes no Edital, seus anexos e sua proposta, assumindo como exclusivamente seus os riscos e as despesas decorrentes da boa e perfeita execução do objeto e, ainda:</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 xml:space="preserve"> Efetuar a entrega do objeto em perfeitas condições, sem alterações na embalagem e/ou conteúdo do mesmo, conforme especificações, prazo e local constantes no Edital e seus anexos, acompanhado da respectiva nota fiscal, na qual constarão as indicações referentes a: marca, fabricante, modelo, procedência e prazo de garantia ou validade;</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O objeto deve estar acompanhado do manual do usuário, com uma versão em português e da relação da rede de assistência técnica autorizada;</w:t>
      </w:r>
    </w:p>
    <w:p w:rsidR="00525A73" w:rsidRPr="00313ECB" w:rsidRDefault="00313ECB">
      <w:pPr>
        <w:numPr>
          <w:ilvl w:val="3"/>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lang w:eastAsia="en-US"/>
        </w:rPr>
        <w:t>Os equipamentos deverão ser identificados quanto ao tipo e ao uso, de acordo com as normas, por etiquetas e placas de sinalização, que deverão ser entregues pela contratada</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Responsabilizar-se pelos vícios e danos decorrentes do objeto, de acordo com os artigos 12, 13 e 17 a 27, do Código de Defesa do Consumidor (Lei nº 8.078, de 1990);</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lastRenderedPageBreak/>
        <w:t>Substituir, reparar ou corrigir, às suas expensas, no prazo máximo de 7 (sete) dias, conforme fixado neste Termo de Referência, o objeto com avarias, defeitos ou que porventura estejam fora das especificações, independentemente do motivo alegado;</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 xml:space="preserve"> A inobservância ao disposto no subitem 10.1.3, implicará no não pagamento do valor devido a CONTRATADA sem prejuízo de demais sanções, até que ocorra a necessária regularização.</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Comunicar à Contratante, no prazo máximo de 24 (vinte e quatro) horas que antecede a data da entrega, os motivos que impossibilitem o cumprimento do prazo previsto, com a devida comprovação;</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Manter, durante toda a execução do contrato, em compatibilidade com as obrigações assumidas, todas as condições de habilitação e qualificação exigidas na licitação;</w:t>
      </w:r>
    </w:p>
    <w:p w:rsidR="00525A73" w:rsidRPr="00313ECB" w:rsidRDefault="00313ECB">
      <w:pPr>
        <w:numPr>
          <w:ilvl w:val="2"/>
          <w:numId w:val="2"/>
        </w:numPr>
        <w:spacing w:before="120" w:after="120" w:line="276" w:lineRule="auto"/>
        <w:ind w:left="850" w:firstLine="0"/>
        <w:jc w:val="both"/>
        <w:rPr>
          <w:rFonts w:asciiTheme="minorHAnsi" w:hAnsiTheme="minorHAnsi"/>
        </w:rPr>
      </w:pPr>
      <w:r w:rsidRPr="00313ECB">
        <w:rPr>
          <w:rFonts w:asciiTheme="minorHAnsi" w:hAnsiTheme="minorHAnsi" w:cs="Arial"/>
          <w:color w:val="000000"/>
          <w:sz w:val="20"/>
          <w:szCs w:val="20"/>
          <w:lang w:eastAsia="en-US"/>
        </w:rPr>
        <w:t>Indicar preposto para representá-la durante a execução do contrato.</w:t>
      </w:r>
    </w:p>
    <w:p w:rsidR="00525A73" w:rsidRPr="00313ECB" w:rsidRDefault="00525A73">
      <w:pPr>
        <w:spacing w:before="120" w:after="120" w:line="276" w:lineRule="auto"/>
        <w:ind w:left="425"/>
        <w:jc w:val="both"/>
        <w:rPr>
          <w:rFonts w:asciiTheme="minorHAnsi" w:hAnsiTheme="minorHAnsi" w:cs="Arial"/>
          <w:b/>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DO PAGAMENTO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 xml:space="preserve"> O pagamento será realizado no prazo máximo de até 30 (trinta) dias, contados a partir </w:t>
      </w:r>
      <w:r w:rsidRPr="00313ECB">
        <w:rPr>
          <w:rFonts w:asciiTheme="minorHAnsi" w:hAnsiTheme="minorHAnsi" w:cs="Arial"/>
          <w:color w:val="000000"/>
          <w:sz w:val="20"/>
          <w:szCs w:val="20"/>
        </w:rPr>
        <w:t xml:space="preserve">da data final do período de adimplemento a que se referir, </w:t>
      </w:r>
      <w:r w:rsidRPr="00313ECB">
        <w:rPr>
          <w:rFonts w:asciiTheme="minorHAnsi" w:hAnsiTheme="minorHAnsi" w:cs="Arial"/>
          <w:color w:val="000000"/>
          <w:sz w:val="20"/>
          <w:szCs w:val="20"/>
          <w:lang w:eastAsia="en-US"/>
        </w:rPr>
        <w:t>através de ordem bancária, para crédito em banco, agência e conta corrente indicados pelo contratado.</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lang w:eastAsia="en-US"/>
        </w:rPr>
        <w:t xml:space="preserve"> Os pagamentos decorrentes de despesas cujos valores não ultrapassem o limite </w:t>
      </w:r>
      <w:r w:rsidRPr="00313ECB">
        <w:rPr>
          <w:rFonts w:asciiTheme="minorHAnsi" w:hAnsiTheme="minorHAnsi" w:cs="Arial"/>
          <w:sz w:val="20"/>
          <w:szCs w:val="20"/>
        </w:rPr>
        <w:t>de que trata o inciso II do art. 24</w:t>
      </w:r>
      <w:r w:rsidRPr="00313ECB">
        <w:rPr>
          <w:rFonts w:asciiTheme="minorHAnsi" w:hAnsiTheme="minorHAnsi" w:cs="Arial"/>
          <w:sz w:val="20"/>
          <w:szCs w:val="20"/>
          <w:lang w:eastAsia="en-US"/>
        </w:rPr>
        <w:t xml:space="preserve"> da Lei 8.666, de 1993, deverão ser efetuados no prazo de até 5 (cinco) dias úteis, contados da data da apresentação da Nota Fiscal, nos termos do art. 5º, § 3º, da Lei nº 8.666, de 1993</w:t>
      </w:r>
      <w:r w:rsidRPr="00313ECB">
        <w:rPr>
          <w:rFonts w:asciiTheme="minorHAnsi" w:hAnsiTheme="minorHAnsi" w:cs="Arial"/>
          <w:color w:val="000000"/>
          <w:sz w:val="20"/>
          <w:szCs w:val="20"/>
          <w:lang w:eastAsia="en-US"/>
        </w:rPr>
        <w:t>.</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pagamento somente será autorizado depois de efetuado o “atesto” pelo servidor competente na nota fiscal apresentada.</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313ECB">
        <w:rPr>
          <w:rFonts w:asciiTheme="minorHAnsi" w:hAnsiTheme="minorHAnsi" w:cs="Arial"/>
          <w:color w:val="000000"/>
          <w:sz w:val="20"/>
          <w:szCs w:val="20"/>
        </w:rPr>
        <w:t>obrigação financeira pendente, decorrente de penalidade imposta ou inadimplência,</w:t>
      </w:r>
      <w:r w:rsidRPr="00313ECB">
        <w:rPr>
          <w:rFonts w:asciiTheme="minorHAnsi" w:hAnsiTheme="minorHAnsi"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Será considerada data do pagamento o dia </w:t>
      </w:r>
      <w:r w:rsidRPr="00313ECB">
        <w:rPr>
          <w:rFonts w:asciiTheme="minorHAnsi" w:hAnsiTheme="minorHAnsi" w:cs="Arial"/>
          <w:color w:val="000000"/>
          <w:sz w:val="20"/>
          <w:szCs w:val="20"/>
          <w:lang w:eastAsia="en-US"/>
        </w:rPr>
        <w:t>em que constar como emitida a ordem bancária para pagamento.</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 xml:space="preserve">Antes de cada pagamento à contratada, será realizada consulta ao SICAF para verificar a manutenção das condições de habilitação exigidas no edital. </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25A73" w:rsidRPr="00313ECB" w:rsidRDefault="00313ECB">
      <w:pPr>
        <w:pStyle w:val="PargrafodaLista"/>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lang w:eastAsia="en-US"/>
        </w:rPr>
      </w:pPr>
      <w:r w:rsidRPr="00313ECB">
        <w:rPr>
          <w:rFonts w:asciiTheme="minorHAnsi" w:hAnsiTheme="minorHAnsi"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Quando do pagamento, será efetuada a retenção tributária prevista na legislação aplicável.</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 xml:space="preserve">Nos casos de eventuais atrasos de pagamento, desde que a Contratada não tenha concorrido, de alguma forma, para tanto, fica convencionado que a taxa de compensação financeira devida pela Contratante, entre a data do </w:t>
      </w:r>
      <w:proofErr w:type="gramStart"/>
      <w:r w:rsidRPr="00313ECB">
        <w:rPr>
          <w:rFonts w:asciiTheme="minorHAnsi" w:hAnsiTheme="minorHAnsi" w:cs="Arial"/>
          <w:color w:val="000000"/>
          <w:sz w:val="20"/>
          <w:szCs w:val="20"/>
        </w:rPr>
        <w:t>vencimento  e</w:t>
      </w:r>
      <w:proofErr w:type="gramEnd"/>
      <w:r w:rsidRPr="00313ECB">
        <w:rPr>
          <w:rFonts w:asciiTheme="minorHAnsi" w:hAnsiTheme="minorHAnsi" w:cs="Arial"/>
          <w:color w:val="000000"/>
          <w:sz w:val="20"/>
          <w:szCs w:val="20"/>
        </w:rPr>
        <w:t xml:space="preserve"> o efetivo adimplemento da parcela, é calculada mediante a aplicação da seguinte fórmula:</w:t>
      </w:r>
    </w:p>
    <w:p w:rsidR="00525A73" w:rsidRPr="00313ECB" w:rsidRDefault="00313ECB">
      <w:pPr>
        <w:tabs>
          <w:tab w:val="left" w:pos="1701"/>
        </w:tabs>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EM = I x N x VP, sendo:</w:t>
      </w:r>
    </w:p>
    <w:p w:rsidR="00525A73" w:rsidRPr="00313ECB" w:rsidRDefault="00313ECB">
      <w:pPr>
        <w:tabs>
          <w:tab w:val="left" w:pos="1701"/>
        </w:tabs>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EM = Encargos moratórios;</w:t>
      </w:r>
    </w:p>
    <w:p w:rsidR="00525A73" w:rsidRPr="00313ECB" w:rsidRDefault="00313ECB">
      <w:pPr>
        <w:tabs>
          <w:tab w:val="left" w:pos="1701"/>
        </w:tabs>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N = Número de dias entre a data prevista para o pagamento e a do efetivo pagamento;</w:t>
      </w:r>
    </w:p>
    <w:p w:rsidR="00525A73" w:rsidRPr="00313ECB" w:rsidRDefault="00313ECB">
      <w:pPr>
        <w:tabs>
          <w:tab w:val="left" w:pos="1701"/>
        </w:tabs>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VP = Valor da parcela a ser paga.</w:t>
      </w:r>
    </w:p>
    <w:p w:rsidR="00525A73" w:rsidRPr="00313ECB" w:rsidRDefault="00313ECB">
      <w:pPr>
        <w:tabs>
          <w:tab w:val="left" w:pos="1701"/>
        </w:tabs>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I = Índice de compensação financeira = 0,00016438, assim apurado:</w:t>
      </w:r>
    </w:p>
    <w:tbl>
      <w:tblPr>
        <w:tblW w:w="8862" w:type="dxa"/>
        <w:tblInd w:w="425" w:type="dxa"/>
        <w:tblCellMar>
          <w:left w:w="113" w:type="dxa"/>
        </w:tblCellMar>
        <w:tblLook w:val="04A0" w:firstRow="1" w:lastRow="0" w:firstColumn="1" w:lastColumn="0" w:noHBand="0" w:noVBand="1"/>
      </w:tblPr>
      <w:tblGrid>
        <w:gridCol w:w="2211"/>
        <w:gridCol w:w="446"/>
        <w:gridCol w:w="1276"/>
        <w:gridCol w:w="4929"/>
      </w:tblGrid>
      <w:tr w:rsidR="00525A73" w:rsidRPr="00313ECB">
        <w:tc>
          <w:tcPr>
            <w:tcW w:w="2211" w:type="dxa"/>
            <w:vMerge w:val="restart"/>
            <w:shd w:val="clear" w:color="auto" w:fill="FFFFFF"/>
            <w:vAlign w:val="center"/>
          </w:tcPr>
          <w:p w:rsidR="00525A73" w:rsidRPr="00313ECB" w:rsidRDefault="00313ECB">
            <w:pPr>
              <w:tabs>
                <w:tab w:val="left" w:pos="1701"/>
              </w:tabs>
              <w:jc w:val="center"/>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I = (TX)</w:t>
            </w:r>
          </w:p>
        </w:tc>
        <w:tc>
          <w:tcPr>
            <w:tcW w:w="446" w:type="dxa"/>
            <w:vMerge w:val="restart"/>
            <w:shd w:val="clear" w:color="auto" w:fill="FFFFFF"/>
            <w:vAlign w:val="center"/>
          </w:tcPr>
          <w:p w:rsidR="00525A73" w:rsidRPr="00313ECB" w:rsidRDefault="00313ECB">
            <w:pPr>
              <w:tabs>
                <w:tab w:val="left" w:pos="1701"/>
              </w:tabs>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 xml:space="preserve">I = </w:t>
            </w:r>
          </w:p>
        </w:tc>
        <w:tc>
          <w:tcPr>
            <w:tcW w:w="1276" w:type="dxa"/>
            <w:tcBorders>
              <w:bottom w:val="single" w:sz="4" w:space="0" w:color="00000A"/>
            </w:tcBorders>
            <w:shd w:val="clear" w:color="auto" w:fill="FFFFFF"/>
          </w:tcPr>
          <w:p w:rsidR="00525A73" w:rsidRPr="00313ECB" w:rsidRDefault="00313ECB">
            <w:pPr>
              <w:tabs>
                <w:tab w:val="left" w:pos="1701"/>
              </w:tabs>
              <w:jc w:val="center"/>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( 6 / 100 )</w:t>
            </w:r>
          </w:p>
        </w:tc>
        <w:tc>
          <w:tcPr>
            <w:tcW w:w="4928" w:type="dxa"/>
            <w:vMerge w:val="restart"/>
            <w:shd w:val="clear" w:color="auto" w:fill="FFFFFF"/>
            <w:vAlign w:val="center"/>
          </w:tcPr>
          <w:p w:rsidR="00525A73" w:rsidRPr="00313ECB" w:rsidRDefault="00313ECB">
            <w:pPr>
              <w:tabs>
                <w:tab w:val="left" w:pos="1701"/>
              </w:tabs>
              <w:ind w:left="742"/>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I = 0,00016438</w:t>
            </w:r>
          </w:p>
          <w:p w:rsidR="00525A73" w:rsidRPr="00313ECB" w:rsidRDefault="00313ECB">
            <w:pPr>
              <w:tabs>
                <w:tab w:val="left" w:pos="1701"/>
              </w:tabs>
              <w:ind w:left="742"/>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TX = Percentual da taxa anual = 6%</w:t>
            </w:r>
          </w:p>
        </w:tc>
      </w:tr>
      <w:tr w:rsidR="00525A73" w:rsidRPr="00313ECB">
        <w:tc>
          <w:tcPr>
            <w:tcW w:w="2211" w:type="dxa"/>
            <w:vMerge/>
            <w:shd w:val="clear" w:color="auto" w:fill="FFFFFF"/>
            <w:vAlign w:val="center"/>
          </w:tcPr>
          <w:p w:rsidR="00525A73" w:rsidRPr="00313ECB" w:rsidRDefault="00525A73">
            <w:pPr>
              <w:rPr>
                <w:rFonts w:asciiTheme="minorHAnsi" w:hAnsiTheme="minorHAnsi"/>
              </w:rPr>
            </w:pPr>
          </w:p>
        </w:tc>
        <w:tc>
          <w:tcPr>
            <w:tcW w:w="446" w:type="dxa"/>
            <w:vMerge/>
            <w:shd w:val="clear" w:color="auto" w:fill="FFFFFF"/>
            <w:vAlign w:val="center"/>
          </w:tcPr>
          <w:p w:rsidR="00525A73" w:rsidRPr="00313ECB" w:rsidRDefault="00525A73">
            <w:pPr>
              <w:rPr>
                <w:rFonts w:asciiTheme="minorHAnsi" w:hAnsiTheme="minorHAnsi"/>
              </w:rPr>
            </w:pPr>
          </w:p>
        </w:tc>
        <w:tc>
          <w:tcPr>
            <w:tcW w:w="1276" w:type="dxa"/>
            <w:shd w:val="clear" w:color="auto" w:fill="FFFFFF"/>
          </w:tcPr>
          <w:p w:rsidR="00525A73" w:rsidRPr="00313ECB" w:rsidRDefault="00313ECB">
            <w:pPr>
              <w:tabs>
                <w:tab w:val="left" w:pos="1701"/>
              </w:tabs>
              <w:jc w:val="center"/>
              <w:rPr>
                <w:rFonts w:asciiTheme="minorHAnsi" w:eastAsia="MS Mincho" w:hAnsiTheme="minorHAnsi" w:cs="Arial"/>
                <w:color w:val="000000"/>
                <w:sz w:val="20"/>
                <w:szCs w:val="20"/>
                <w:lang w:eastAsia="en-US"/>
              </w:rPr>
            </w:pPr>
            <w:r w:rsidRPr="00313ECB">
              <w:rPr>
                <w:rFonts w:asciiTheme="minorHAnsi" w:eastAsia="MS Mincho" w:hAnsiTheme="minorHAnsi" w:cs="Arial"/>
                <w:color w:val="000000"/>
                <w:sz w:val="20"/>
                <w:szCs w:val="20"/>
                <w:lang w:eastAsia="en-US"/>
              </w:rPr>
              <w:t>365</w:t>
            </w:r>
          </w:p>
        </w:tc>
        <w:tc>
          <w:tcPr>
            <w:tcW w:w="4928" w:type="dxa"/>
            <w:vMerge/>
            <w:shd w:val="clear" w:color="auto" w:fill="FFFFFF"/>
            <w:vAlign w:val="center"/>
          </w:tcPr>
          <w:p w:rsidR="00525A73" w:rsidRPr="00313ECB" w:rsidRDefault="00525A73">
            <w:pPr>
              <w:rPr>
                <w:rFonts w:asciiTheme="minorHAnsi" w:hAnsiTheme="minorHAnsi"/>
              </w:rPr>
            </w:pPr>
          </w:p>
        </w:tc>
      </w:tr>
    </w:tbl>
    <w:p w:rsidR="00525A73" w:rsidRPr="00313ECB" w:rsidRDefault="00525A73">
      <w:pPr>
        <w:tabs>
          <w:tab w:val="left" w:pos="1701"/>
        </w:tabs>
        <w:spacing w:before="120" w:after="120" w:line="276" w:lineRule="auto"/>
        <w:ind w:left="425"/>
        <w:jc w:val="both"/>
        <w:rPr>
          <w:rFonts w:asciiTheme="minorHAnsi" w:hAnsiTheme="minorHAnsi" w:cs="Arial"/>
          <w:color w:val="000000"/>
          <w:sz w:val="20"/>
          <w:szCs w:val="20"/>
        </w:rPr>
      </w:pPr>
    </w:p>
    <w:p w:rsidR="00525A73" w:rsidRPr="00313ECB" w:rsidRDefault="00525A73">
      <w:pPr>
        <w:tabs>
          <w:tab w:val="left" w:pos="1701"/>
        </w:tabs>
        <w:spacing w:before="120" w:after="120" w:line="276" w:lineRule="auto"/>
        <w:ind w:left="425"/>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jc w:val="both"/>
        <w:rPr>
          <w:rFonts w:asciiTheme="minorHAnsi" w:hAnsiTheme="minorHAnsi" w:cs="Arial"/>
          <w:b/>
          <w:color w:val="000000"/>
          <w:sz w:val="20"/>
          <w:szCs w:val="20"/>
        </w:rPr>
      </w:pPr>
      <w:r w:rsidRPr="00313ECB">
        <w:rPr>
          <w:rFonts w:asciiTheme="minorHAnsi" w:hAnsiTheme="minorHAnsi" w:cs="Arial"/>
          <w:b/>
          <w:color w:val="000000"/>
          <w:sz w:val="20"/>
          <w:szCs w:val="20"/>
        </w:rPr>
        <w:t xml:space="preserve">DA FORMAÇÃO DO CADASTRO DE RESERVA </w:t>
      </w:r>
    </w:p>
    <w:p w:rsidR="00525A73" w:rsidRPr="00313ECB" w:rsidRDefault="00313ECB">
      <w:pPr>
        <w:numPr>
          <w:ilvl w:val="1"/>
          <w:numId w:val="2"/>
        </w:numPr>
        <w:spacing w:before="120" w:after="120" w:line="276" w:lineRule="auto"/>
        <w:jc w:val="both"/>
        <w:rPr>
          <w:rFonts w:asciiTheme="minorHAnsi" w:hAnsiTheme="minorHAnsi" w:cs="Arial"/>
          <w:color w:val="000000"/>
          <w:sz w:val="20"/>
          <w:szCs w:val="20"/>
        </w:rPr>
      </w:pPr>
      <w:r w:rsidRPr="00313ECB">
        <w:rPr>
          <w:rFonts w:asciiTheme="minorHAnsi" w:hAnsiTheme="minorHAnsi" w:cs="Arial"/>
          <w:color w:val="000000"/>
          <w:sz w:val="20"/>
          <w:szCs w:val="20"/>
        </w:rPr>
        <w:t>Após o encerramento da etapa competitiva, os licitantes poderão reduzir seus preços ao valor da proposta do licitante mais bem classificado.</w:t>
      </w:r>
    </w:p>
    <w:p w:rsidR="00525A73" w:rsidRPr="00313ECB" w:rsidRDefault="00313ECB">
      <w:pPr>
        <w:numPr>
          <w:ilvl w:val="2"/>
          <w:numId w:val="2"/>
        </w:numPr>
        <w:spacing w:before="120" w:after="120" w:line="276" w:lineRule="auto"/>
        <w:jc w:val="both"/>
        <w:rPr>
          <w:rFonts w:asciiTheme="minorHAnsi" w:hAnsiTheme="minorHAnsi" w:cs="Arial"/>
          <w:color w:val="000000"/>
          <w:sz w:val="20"/>
          <w:szCs w:val="20"/>
        </w:rPr>
      </w:pPr>
      <w:r w:rsidRPr="00313ECB">
        <w:rPr>
          <w:rFonts w:asciiTheme="minorHAnsi" w:hAnsiTheme="minorHAnsi" w:cs="Arial"/>
          <w:color w:val="000000"/>
          <w:sz w:val="20"/>
          <w:szCs w:val="20"/>
        </w:rPr>
        <w:t>A apresentação de novas propostas na forma deste item não prejudicará o resultado do certame em relação ao licitante melhor classificado.</w:t>
      </w:r>
    </w:p>
    <w:p w:rsidR="00525A73" w:rsidRPr="00313ECB" w:rsidRDefault="00313ECB">
      <w:pPr>
        <w:numPr>
          <w:ilvl w:val="1"/>
          <w:numId w:val="2"/>
        </w:numPr>
        <w:spacing w:before="120" w:after="120" w:line="276" w:lineRule="auto"/>
        <w:jc w:val="both"/>
        <w:rPr>
          <w:rFonts w:asciiTheme="minorHAnsi" w:hAnsiTheme="minorHAnsi" w:cs="Arial"/>
          <w:color w:val="000000"/>
          <w:sz w:val="20"/>
          <w:szCs w:val="20"/>
        </w:rPr>
      </w:pPr>
      <w:r w:rsidRPr="00313ECB">
        <w:rPr>
          <w:rFonts w:asciiTheme="minorHAnsi" w:hAnsiTheme="minorHAnsi"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525A73" w:rsidRPr="00313ECB" w:rsidRDefault="00313ECB">
      <w:pPr>
        <w:numPr>
          <w:ilvl w:val="1"/>
          <w:numId w:val="2"/>
        </w:numPr>
        <w:spacing w:before="120" w:after="120" w:line="276" w:lineRule="auto"/>
        <w:jc w:val="both"/>
        <w:rPr>
          <w:rFonts w:asciiTheme="minorHAnsi" w:hAnsiTheme="minorHAnsi" w:cs="Arial"/>
          <w:color w:val="000000"/>
          <w:sz w:val="20"/>
          <w:szCs w:val="20"/>
        </w:rPr>
      </w:pPr>
      <w:r w:rsidRPr="00313ECB">
        <w:rPr>
          <w:rFonts w:asciiTheme="minorHAnsi" w:hAnsiTheme="minorHAnsi"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525A73" w:rsidRPr="00313ECB" w:rsidRDefault="00525A73">
      <w:pPr>
        <w:spacing w:before="120" w:after="120" w:line="276" w:lineRule="auto"/>
        <w:jc w:val="both"/>
        <w:rPr>
          <w:rFonts w:asciiTheme="minorHAnsi" w:hAnsiTheme="minorHAnsi" w:cs="Arial"/>
          <w:b/>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DAS SANÇÕES ADMINISTRATIVAS.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highlight w:val="white"/>
        </w:rPr>
        <w:t>Comete infração administrativa, nos termos da Lei nº 10.520, de 2002, o licitante/adjudicatário</w:t>
      </w:r>
      <w:r w:rsidRPr="00313ECB">
        <w:rPr>
          <w:rFonts w:asciiTheme="minorHAnsi" w:hAnsiTheme="minorHAnsi" w:cs="Arial"/>
          <w:sz w:val="20"/>
          <w:highlight w:val="white"/>
        </w:rPr>
        <w:t xml:space="preserve"> </w:t>
      </w:r>
      <w:r w:rsidRPr="00313ECB">
        <w:rPr>
          <w:rFonts w:asciiTheme="minorHAnsi" w:hAnsiTheme="minorHAnsi" w:cs="Arial"/>
          <w:sz w:val="20"/>
          <w:szCs w:val="20"/>
          <w:highlight w:val="white"/>
        </w:rPr>
        <w:t xml:space="preserve">que: </w:t>
      </w:r>
    </w:p>
    <w:p w:rsidR="00525A73" w:rsidRPr="00313ECB" w:rsidRDefault="00313ECB">
      <w:pPr>
        <w:numPr>
          <w:ilvl w:val="2"/>
          <w:numId w:val="2"/>
        </w:numPr>
        <w:spacing w:after="120" w:line="276" w:lineRule="auto"/>
        <w:ind w:left="1134" w:right="-15" w:hanging="283"/>
        <w:jc w:val="both"/>
        <w:rPr>
          <w:rFonts w:asciiTheme="minorHAnsi" w:hAnsiTheme="minorHAnsi" w:cs="Arial"/>
          <w:color w:val="000000"/>
          <w:sz w:val="20"/>
          <w:szCs w:val="20"/>
          <w:highlight w:val="white"/>
        </w:rPr>
      </w:pPr>
      <w:proofErr w:type="gramStart"/>
      <w:r w:rsidRPr="00313ECB">
        <w:rPr>
          <w:rFonts w:asciiTheme="minorHAnsi" w:hAnsiTheme="minorHAnsi" w:cs="Arial"/>
          <w:color w:val="000000"/>
          <w:sz w:val="20"/>
          <w:szCs w:val="20"/>
          <w:highlight w:val="white"/>
        </w:rPr>
        <w:lastRenderedPageBreak/>
        <w:t>não</w:t>
      </w:r>
      <w:proofErr w:type="gramEnd"/>
      <w:r w:rsidRPr="00313ECB">
        <w:rPr>
          <w:rFonts w:asciiTheme="minorHAnsi" w:hAnsiTheme="minorHAnsi" w:cs="Arial"/>
          <w:color w:val="000000"/>
          <w:sz w:val="20"/>
          <w:szCs w:val="20"/>
          <w:highlight w:val="white"/>
        </w:rPr>
        <w:t xml:space="preserve"> assinar a ata de registro de preços quando convocado dentro do prazo de validade da proposta, não aceitar/retirar a nota de empenho ou não assinar o termo de contrato decorrente da ata de registro de preços;</w:t>
      </w:r>
    </w:p>
    <w:p w:rsidR="00525A73" w:rsidRPr="00313ECB" w:rsidRDefault="00313ECB">
      <w:pPr>
        <w:numPr>
          <w:ilvl w:val="2"/>
          <w:numId w:val="2"/>
        </w:numPr>
        <w:spacing w:after="120" w:line="276" w:lineRule="auto"/>
        <w:ind w:left="1134" w:right="-15" w:hanging="283"/>
        <w:jc w:val="both"/>
        <w:rPr>
          <w:rFonts w:asciiTheme="minorHAnsi" w:hAnsiTheme="minorHAnsi"/>
        </w:rPr>
      </w:pPr>
      <w:proofErr w:type="gramStart"/>
      <w:r w:rsidRPr="00313ECB">
        <w:rPr>
          <w:rFonts w:asciiTheme="minorHAnsi" w:hAnsiTheme="minorHAnsi" w:cs="Arial"/>
          <w:sz w:val="20"/>
          <w:szCs w:val="20"/>
          <w:highlight w:val="white"/>
        </w:rPr>
        <w:t>apresentar</w:t>
      </w:r>
      <w:proofErr w:type="gramEnd"/>
      <w:r w:rsidRPr="00313ECB">
        <w:rPr>
          <w:rFonts w:asciiTheme="minorHAnsi" w:hAnsiTheme="minorHAnsi" w:cs="Arial"/>
          <w:highlight w:val="white"/>
        </w:rPr>
        <w:t xml:space="preserve"> </w:t>
      </w:r>
      <w:r w:rsidRPr="00313ECB">
        <w:rPr>
          <w:rFonts w:asciiTheme="minorHAnsi" w:hAnsiTheme="minorHAnsi" w:cs="Arial"/>
          <w:sz w:val="20"/>
          <w:szCs w:val="20"/>
          <w:highlight w:val="white"/>
        </w:rPr>
        <w:t>documentação falsa;</w:t>
      </w:r>
    </w:p>
    <w:p w:rsidR="00525A73" w:rsidRPr="00313ECB" w:rsidRDefault="00313ECB">
      <w:pPr>
        <w:numPr>
          <w:ilvl w:val="2"/>
          <w:numId w:val="2"/>
        </w:numPr>
        <w:spacing w:after="120" w:line="276" w:lineRule="auto"/>
        <w:ind w:left="1134" w:right="-15" w:hanging="283"/>
        <w:jc w:val="both"/>
        <w:rPr>
          <w:rFonts w:asciiTheme="minorHAnsi" w:hAnsiTheme="minorHAnsi" w:cs="Arial"/>
          <w:sz w:val="20"/>
          <w:szCs w:val="20"/>
          <w:highlight w:val="white"/>
        </w:rPr>
      </w:pPr>
      <w:proofErr w:type="gramStart"/>
      <w:r w:rsidRPr="00313ECB">
        <w:rPr>
          <w:rFonts w:asciiTheme="minorHAnsi" w:hAnsiTheme="minorHAnsi" w:cs="Arial"/>
          <w:sz w:val="20"/>
          <w:szCs w:val="20"/>
          <w:highlight w:val="white"/>
        </w:rPr>
        <w:t>deixar</w:t>
      </w:r>
      <w:proofErr w:type="gramEnd"/>
      <w:r w:rsidRPr="00313ECB">
        <w:rPr>
          <w:rFonts w:asciiTheme="minorHAnsi" w:hAnsiTheme="minorHAnsi" w:cs="Arial"/>
          <w:sz w:val="20"/>
          <w:szCs w:val="20"/>
          <w:highlight w:val="white"/>
        </w:rPr>
        <w:t xml:space="preserve"> de entregar os documentos exigidos no certame;</w:t>
      </w:r>
    </w:p>
    <w:p w:rsidR="00525A73" w:rsidRPr="00313ECB" w:rsidRDefault="00313ECB">
      <w:pPr>
        <w:numPr>
          <w:ilvl w:val="2"/>
          <w:numId w:val="2"/>
        </w:numPr>
        <w:spacing w:after="120" w:line="276" w:lineRule="auto"/>
        <w:ind w:left="1134" w:right="-15" w:hanging="283"/>
        <w:jc w:val="both"/>
        <w:rPr>
          <w:rFonts w:asciiTheme="minorHAnsi" w:hAnsiTheme="minorHAnsi" w:cs="Arial"/>
          <w:sz w:val="20"/>
          <w:szCs w:val="20"/>
          <w:highlight w:val="white"/>
        </w:rPr>
      </w:pPr>
      <w:proofErr w:type="gramStart"/>
      <w:r w:rsidRPr="00313ECB">
        <w:rPr>
          <w:rFonts w:asciiTheme="minorHAnsi" w:hAnsiTheme="minorHAnsi" w:cs="Arial"/>
          <w:sz w:val="20"/>
          <w:szCs w:val="20"/>
          <w:highlight w:val="white"/>
        </w:rPr>
        <w:t>ensejar</w:t>
      </w:r>
      <w:proofErr w:type="gramEnd"/>
      <w:r w:rsidRPr="00313ECB">
        <w:rPr>
          <w:rFonts w:asciiTheme="minorHAnsi" w:hAnsiTheme="minorHAnsi" w:cs="Arial"/>
          <w:sz w:val="20"/>
          <w:szCs w:val="20"/>
          <w:highlight w:val="white"/>
        </w:rPr>
        <w:t xml:space="preserve"> o retardamento da execução do objeto;</w:t>
      </w:r>
    </w:p>
    <w:p w:rsidR="00525A73" w:rsidRPr="00313ECB" w:rsidRDefault="00313ECB">
      <w:pPr>
        <w:numPr>
          <w:ilvl w:val="2"/>
          <w:numId w:val="2"/>
        </w:numPr>
        <w:spacing w:after="120" w:line="276" w:lineRule="auto"/>
        <w:ind w:left="1134" w:right="-15" w:hanging="283"/>
        <w:jc w:val="both"/>
        <w:rPr>
          <w:rFonts w:asciiTheme="minorHAnsi" w:hAnsiTheme="minorHAnsi"/>
        </w:rPr>
      </w:pPr>
      <w:proofErr w:type="gramStart"/>
      <w:r w:rsidRPr="00313ECB">
        <w:rPr>
          <w:rFonts w:asciiTheme="minorHAnsi" w:hAnsiTheme="minorHAnsi" w:cs="Arial"/>
          <w:sz w:val="20"/>
          <w:szCs w:val="20"/>
          <w:highlight w:val="white"/>
        </w:rPr>
        <w:t>não</w:t>
      </w:r>
      <w:proofErr w:type="gramEnd"/>
      <w:r w:rsidRPr="00313ECB">
        <w:rPr>
          <w:rFonts w:asciiTheme="minorHAnsi" w:hAnsiTheme="minorHAnsi" w:cs="Arial"/>
          <w:sz w:val="20"/>
          <w:highlight w:val="white"/>
        </w:rPr>
        <w:t xml:space="preserve"> mantiver a proposta</w:t>
      </w:r>
      <w:r w:rsidRPr="00313ECB">
        <w:rPr>
          <w:rFonts w:asciiTheme="minorHAnsi" w:hAnsiTheme="minorHAnsi" w:cs="Arial"/>
          <w:sz w:val="20"/>
          <w:szCs w:val="20"/>
          <w:highlight w:val="white"/>
        </w:rPr>
        <w:t>;</w:t>
      </w:r>
    </w:p>
    <w:p w:rsidR="00525A73" w:rsidRPr="00313ECB" w:rsidRDefault="00313ECB">
      <w:pPr>
        <w:numPr>
          <w:ilvl w:val="2"/>
          <w:numId w:val="2"/>
        </w:numPr>
        <w:spacing w:after="120" w:line="276" w:lineRule="auto"/>
        <w:ind w:left="1134" w:right="-15" w:hanging="283"/>
        <w:jc w:val="both"/>
        <w:rPr>
          <w:rFonts w:asciiTheme="minorHAnsi" w:hAnsiTheme="minorHAnsi" w:cs="Arial"/>
          <w:sz w:val="20"/>
          <w:szCs w:val="20"/>
          <w:highlight w:val="white"/>
        </w:rPr>
      </w:pPr>
      <w:proofErr w:type="gramStart"/>
      <w:r w:rsidRPr="00313ECB">
        <w:rPr>
          <w:rFonts w:asciiTheme="minorHAnsi" w:hAnsiTheme="minorHAnsi" w:cs="Arial"/>
          <w:sz w:val="20"/>
          <w:szCs w:val="20"/>
          <w:highlight w:val="white"/>
        </w:rPr>
        <w:t>cometer</w:t>
      </w:r>
      <w:proofErr w:type="gramEnd"/>
      <w:r w:rsidRPr="00313ECB">
        <w:rPr>
          <w:rFonts w:asciiTheme="minorHAnsi" w:hAnsiTheme="minorHAnsi" w:cs="Arial"/>
          <w:sz w:val="20"/>
          <w:szCs w:val="20"/>
          <w:highlight w:val="white"/>
        </w:rPr>
        <w:t xml:space="preserve"> fraude fiscal;</w:t>
      </w:r>
    </w:p>
    <w:p w:rsidR="00525A73" w:rsidRPr="00313ECB" w:rsidRDefault="00313ECB">
      <w:pPr>
        <w:numPr>
          <w:ilvl w:val="2"/>
          <w:numId w:val="2"/>
        </w:numPr>
        <w:spacing w:after="120" w:line="276" w:lineRule="auto"/>
        <w:ind w:left="1134" w:right="-15" w:hanging="283"/>
        <w:jc w:val="both"/>
        <w:rPr>
          <w:rFonts w:asciiTheme="minorHAnsi" w:hAnsiTheme="minorHAnsi" w:cs="Arial"/>
          <w:sz w:val="20"/>
          <w:szCs w:val="20"/>
          <w:highlight w:val="white"/>
        </w:rPr>
      </w:pPr>
      <w:proofErr w:type="gramStart"/>
      <w:r w:rsidRPr="00313ECB">
        <w:rPr>
          <w:rFonts w:asciiTheme="minorHAnsi" w:hAnsiTheme="minorHAnsi" w:cs="Arial"/>
          <w:sz w:val="20"/>
          <w:szCs w:val="20"/>
          <w:highlight w:val="white"/>
        </w:rPr>
        <w:t>comportar</w:t>
      </w:r>
      <w:proofErr w:type="gramEnd"/>
      <w:r w:rsidRPr="00313ECB">
        <w:rPr>
          <w:rFonts w:asciiTheme="minorHAnsi" w:hAnsiTheme="minorHAnsi" w:cs="Arial"/>
          <w:sz w:val="20"/>
          <w:szCs w:val="20"/>
          <w:highlight w:val="white"/>
        </w:rPr>
        <w:t>-se de modo inidôneo;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highlight w:val="white"/>
        </w:rPr>
      </w:pPr>
      <w:r w:rsidRPr="00313ECB">
        <w:rPr>
          <w:rFonts w:asciiTheme="minorHAnsi" w:hAnsiTheme="minorHAnsi" w:cs="Arial"/>
          <w:color w:val="000000"/>
          <w:sz w:val="20"/>
          <w:szCs w:val="20"/>
          <w:highlight w:val="white"/>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highlight w:val="white"/>
        </w:rPr>
        <w:t xml:space="preserve">O licitante/adjudicatário que cometer qualquer das infrações discriminadas no subitem anterior ficará sujeito, sem prejuízo da responsabilidade civil e criminal, às </w:t>
      </w:r>
      <w:r w:rsidRPr="00313ECB">
        <w:rPr>
          <w:rFonts w:asciiTheme="minorHAnsi" w:hAnsiTheme="minorHAnsi" w:cs="Arial"/>
          <w:sz w:val="20"/>
          <w:szCs w:val="20"/>
        </w:rPr>
        <w:t>seguintes sanções: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sz w:val="20"/>
          <w:szCs w:val="20"/>
          <w:highlight w:val="white"/>
        </w:rPr>
        <w:t>Multa de 10% (dez por cento) sobre o valor estimado do(s) item(s) prejudicado(s) pela conduta do licitante;</w:t>
      </w:r>
    </w:p>
    <w:p w:rsidR="00525A73" w:rsidRPr="00313ECB" w:rsidRDefault="00313ECB">
      <w:pPr>
        <w:numPr>
          <w:ilvl w:val="2"/>
          <w:numId w:val="2"/>
        </w:numPr>
        <w:spacing w:before="120" w:after="120" w:line="276" w:lineRule="auto"/>
        <w:ind w:left="1134" w:firstLine="0"/>
        <w:jc w:val="both"/>
        <w:rPr>
          <w:rFonts w:asciiTheme="minorHAnsi" w:hAnsiTheme="minorHAnsi" w:cs="Arial"/>
          <w:sz w:val="20"/>
          <w:szCs w:val="20"/>
          <w:highlight w:val="white"/>
        </w:rPr>
      </w:pPr>
      <w:r w:rsidRPr="00313ECB">
        <w:rPr>
          <w:rFonts w:asciiTheme="minorHAnsi" w:hAnsiTheme="minorHAnsi" w:cs="Arial"/>
          <w:sz w:val="20"/>
          <w:szCs w:val="20"/>
          <w:highlight w:val="white"/>
        </w:rPr>
        <w:t>Impedimento de licitar e de contratar com a União e descredenciamento no SICAF, pelo prazo de até cinco anos;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highlight w:val="white"/>
        </w:rPr>
        <w:t>A penalidade de multa pode ser aplicada cumulativamente com a sanção de impedimento</w:t>
      </w:r>
      <w:r w:rsidRPr="00313ECB">
        <w:rPr>
          <w:rFonts w:asciiTheme="minorHAnsi" w:hAnsiTheme="minorHAnsi" w:cs="Arial"/>
          <w:sz w:val="20"/>
          <w:highlight w:val="white"/>
        </w:rPr>
        <w:t>.</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sz w:val="20"/>
          <w:szCs w:val="20"/>
        </w:rPr>
        <w:t xml:space="preserve">A </w:t>
      </w:r>
      <w:r w:rsidRPr="00313ECB">
        <w:rPr>
          <w:rFonts w:asciiTheme="minorHAnsi" w:hAnsiTheme="minorHAnsi"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penalidades serão obrigatoriamente registradas no SICAF.</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sanções por atos praticados no decorrer da contratação estão previstas no Termo de Referência.</w:t>
      </w:r>
    </w:p>
    <w:p w:rsidR="00525A73" w:rsidRPr="00313ECB" w:rsidRDefault="00525A73">
      <w:pPr>
        <w:spacing w:before="120" w:after="120" w:line="276" w:lineRule="auto"/>
        <w:ind w:left="425"/>
        <w:jc w:val="both"/>
        <w:rPr>
          <w:rFonts w:asciiTheme="minorHAnsi" w:hAnsiTheme="minorHAnsi" w:cs="Arial"/>
          <w:color w:val="000000"/>
          <w:sz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 IMPUGNAÇÃO AO EDITAL E DO PEDIDO DE ESCLARECIMENTO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Até 02 (dois) dias úteis antes da data designada para a abertura da sessão pública, qualquer pessoa poderá impugnar este Edital.</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A impugnação poderá ser realizada por forma eletrônica, pelo e-mail cplpu@prefeitura.ufpb.br, pelo fax ou por petição dirigida ou protocolada no endereço da Universidade Federal da Paraíba – UFPB (Campus I – Reitoria), Cidade Universitária s/nº, João Pessoa, PB – CEP: 58.051–900, Gabinete da Reitoria (Sala 09 – Antiga Sala de Reuniões), à Comissão Permanente de Licitação da Prefeitura Universitária (CPL-PU).</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Caberá ao Pregoeiro decidir sobre a impugnação no prazo de até vinte e quatro horas.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Acolhida a impugnação, será definida e publicada nova data para a realização do certame.</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lastRenderedPageBreak/>
        <w:t xml:space="preserve">Os pedidos de esclarecimentos referentes a este processo licitatório deverão ser enviados ao Pregoeiro, até 03 (três) dias úteis anteriores à data designada para abertura da sessão pública, </w:t>
      </w:r>
      <w:r w:rsidRPr="00313ECB">
        <w:rPr>
          <w:rFonts w:asciiTheme="minorHAnsi" w:hAnsiTheme="minorHAnsi" w:cs="Arial"/>
          <w:bCs/>
          <w:sz w:val="20"/>
          <w:szCs w:val="20"/>
          <w:lang w:eastAsia="en-US"/>
        </w:rPr>
        <w:t>exclusivamente por meio eletrônico via internet, no endereço indicado no Edital.</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impugnações e pedidos de esclarecimentos não suspendem os prazos previstos no certame.</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respostas às impugnações e os esclarecimentos prestados pelo Pregoeiro serão entranhados nos autos do processo licitatório e estarão disponíveis para consulta por qualquer interessado.</w:t>
      </w:r>
    </w:p>
    <w:p w:rsidR="00525A73" w:rsidRPr="00313ECB" w:rsidRDefault="00313ECB">
      <w:pPr>
        <w:spacing w:before="120" w:after="120" w:line="276" w:lineRule="auto"/>
        <w:ind w:left="425"/>
        <w:jc w:val="both"/>
        <w:rPr>
          <w:rFonts w:asciiTheme="minorHAnsi" w:hAnsiTheme="minorHAnsi" w:cs="Arial"/>
          <w:color w:val="000000"/>
          <w:sz w:val="20"/>
          <w:szCs w:val="20"/>
        </w:rPr>
      </w:pPr>
      <w:r w:rsidRPr="00313ECB">
        <w:rPr>
          <w:rFonts w:asciiTheme="minorHAnsi" w:hAnsiTheme="minorHAnsi" w:cs="Arial"/>
          <w:color w:val="000000"/>
          <w:sz w:val="20"/>
          <w:szCs w:val="20"/>
        </w:rPr>
        <w:t>22.8. Informações de ordem técnica poderão ser obtidas junto à Divisão de Administração, na pessoa do Sr. Camilo Sobreira Duarte Filho, pelo telefone: (83) 3216-7840.</w:t>
      </w:r>
    </w:p>
    <w:p w:rsidR="00525A73" w:rsidRPr="00313ECB" w:rsidRDefault="00525A73">
      <w:pPr>
        <w:spacing w:before="120" w:after="120" w:line="276" w:lineRule="auto"/>
        <w:ind w:left="425"/>
        <w:jc w:val="both"/>
        <w:rPr>
          <w:rFonts w:asciiTheme="minorHAnsi" w:hAnsiTheme="minorHAnsi" w:cs="Arial"/>
          <w:color w:val="000000"/>
          <w:sz w:val="20"/>
          <w:szCs w:val="20"/>
        </w:rPr>
      </w:pPr>
    </w:p>
    <w:p w:rsidR="00525A73" w:rsidRPr="00313ECB" w:rsidRDefault="00313ECB">
      <w:pPr>
        <w:numPr>
          <w:ilvl w:val="0"/>
          <w:numId w:val="2"/>
        </w:numPr>
        <w:spacing w:before="120" w:after="120" w:line="276" w:lineRule="auto"/>
        <w:ind w:left="0" w:firstLine="0"/>
        <w:jc w:val="both"/>
        <w:rPr>
          <w:rFonts w:asciiTheme="minorHAnsi" w:hAnsiTheme="minorHAnsi" w:cs="Arial"/>
          <w:b/>
          <w:color w:val="000000"/>
          <w:sz w:val="20"/>
          <w:szCs w:val="20"/>
        </w:rPr>
      </w:pPr>
      <w:r w:rsidRPr="00313ECB">
        <w:rPr>
          <w:rFonts w:asciiTheme="minorHAnsi" w:hAnsiTheme="minorHAnsi" w:cs="Arial"/>
          <w:b/>
          <w:color w:val="000000"/>
          <w:sz w:val="20"/>
          <w:szCs w:val="20"/>
        </w:rPr>
        <w:t>DAS DISPOSIÇÕES GERAIS</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 xml:space="preserve"> A homologação do resultado desta licitação não implicará direito à contratação.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Na contagem dos prazos estabelecidos neste Edital e seus Anexos, excluir-se-á o dia do início e incluir-se-á o do vencimento. Só se iniciam e vencem os prazos em dias de expediente na Administração.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t>Em caso de divergência entre disposições deste Edital e de seus anexos ou demais peças que compõem o processo, prevalecerá as deste Edital.</w:t>
      </w:r>
    </w:p>
    <w:p w:rsidR="00525A73" w:rsidRPr="00313ECB" w:rsidRDefault="00313ECB">
      <w:pPr>
        <w:numPr>
          <w:ilvl w:val="1"/>
          <w:numId w:val="2"/>
        </w:numPr>
        <w:spacing w:before="120" w:after="120" w:line="276" w:lineRule="auto"/>
        <w:ind w:left="425" w:firstLine="0"/>
        <w:jc w:val="both"/>
        <w:rPr>
          <w:rFonts w:asciiTheme="minorHAnsi" w:hAnsiTheme="minorHAnsi"/>
        </w:rPr>
      </w:pPr>
      <w:r w:rsidRPr="00313ECB">
        <w:rPr>
          <w:rFonts w:asciiTheme="minorHAnsi" w:hAnsiTheme="minorHAnsi" w:cs="Arial"/>
          <w:color w:val="000000"/>
          <w:sz w:val="20"/>
          <w:szCs w:val="20"/>
        </w:rPr>
        <w:t>O Edital está disponibilizado, na íntegra, no endereço eletrônico http://www.prefeitura.ufpb.br/cplpu, e também poderão ser lidos e/ou obtidos no endereço da Universidade Federal da Paraíba – UFPB (Campus I – Reitoria), Cidade Universitária s/nº, João Pessoa, PB – CEP: 58.051–900, Gabinete da Reitoria (Sala 09 – Antiga Sala de Reuniões), Telefone: (83) 3216-7091, nos dias úteis, no horário das 08 h:00 min horas às 12 h:00 min horas e das 14 h:00 min às 17 h:00 min, mesmo endereço e período no qual os autos do processo administrativo permanecerão com vista franqueada aos interessados.</w:t>
      </w:r>
    </w:p>
    <w:p w:rsidR="00525A73" w:rsidRPr="00313ECB" w:rsidRDefault="00313ECB">
      <w:pPr>
        <w:numPr>
          <w:ilvl w:val="1"/>
          <w:numId w:val="2"/>
        </w:numPr>
        <w:spacing w:before="120" w:after="120" w:line="276" w:lineRule="auto"/>
        <w:ind w:left="425" w:firstLine="0"/>
        <w:jc w:val="both"/>
        <w:rPr>
          <w:rFonts w:asciiTheme="minorHAnsi" w:hAnsiTheme="minorHAnsi" w:cs="Arial"/>
          <w:color w:val="000000"/>
          <w:sz w:val="20"/>
          <w:szCs w:val="20"/>
        </w:rPr>
      </w:pPr>
      <w:r w:rsidRPr="00313ECB">
        <w:rPr>
          <w:rFonts w:asciiTheme="minorHAnsi" w:hAnsiTheme="minorHAnsi" w:cs="Arial"/>
          <w:color w:val="000000"/>
          <w:sz w:val="20"/>
          <w:szCs w:val="20"/>
        </w:rPr>
        <w:lastRenderedPageBreak/>
        <w:t>Integram este Edital, para todos os fins e efeitos, os seguintes anexos:</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ANEXO I - Termo de Referência;</w:t>
      </w:r>
    </w:p>
    <w:p w:rsidR="00525A73" w:rsidRPr="00313ECB" w:rsidRDefault="00313ECB">
      <w:pPr>
        <w:numPr>
          <w:ilvl w:val="2"/>
          <w:numId w:val="2"/>
        </w:numPr>
        <w:spacing w:before="120" w:after="120" w:line="276" w:lineRule="auto"/>
        <w:ind w:left="1134" w:firstLine="0"/>
        <w:jc w:val="both"/>
        <w:rPr>
          <w:rFonts w:asciiTheme="minorHAnsi" w:hAnsiTheme="minorHAnsi" w:cs="Arial"/>
          <w:color w:val="000000"/>
          <w:sz w:val="20"/>
          <w:szCs w:val="20"/>
        </w:rPr>
      </w:pPr>
      <w:r w:rsidRPr="00313ECB">
        <w:rPr>
          <w:rFonts w:asciiTheme="minorHAnsi" w:hAnsiTheme="minorHAnsi" w:cs="Arial"/>
          <w:color w:val="000000"/>
          <w:sz w:val="20"/>
          <w:szCs w:val="20"/>
        </w:rPr>
        <w:t>ANEXO II – Ata de Registro de Preços;</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bCs/>
          <w:iCs/>
          <w:color w:val="000000"/>
          <w:sz w:val="20"/>
          <w:szCs w:val="20"/>
        </w:rPr>
        <w:t>ANEXO III – Minuta de Termo de Contrato;</w:t>
      </w:r>
    </w:p>
    <w:p w:rsidR="00525A73" w:rsidRPr="00313ECB" w:rsidRDefault="00313ECB">
      <w:pPr>
        <w:numPr>
          <w:ilvl w:val="2"/>
          <w:numId w:val="2"/>
        </w:numPr>
        <w:spacing w:before="120" w:after="120" w:line="276" w:lineRule="auto"/>
        <w:ind w:left="1134" w:firstLine="0"/>
        <w:jc w:val="both"/>
        <w:rPr>
          <w:rFonts w:asciiTheme="minorHAnsi" w:hAnsiTheme="minorHAnsi"/>
        </w:rPr>
      </w:pPr>
      <w:r w:rsidRPr="00313ECB">
        <w:rPr>
          <w:rFonts w:asciiTheme="minorHAnsi" w:hAnsiTheme="minorHAnsi" w:cs="Arial"/>
          <w:color w:val="000000"/>
          <w:sz w:val="20"/>
          <w:szCs w:val="20"/>
        </w:rPr>
        <w:t>ANEXO IV – Declarações;</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r w:rsidRPr="00313ECB">
        <w:rPr>
          <w:rFonts w:asciiTheme="minorHAnsi" w:hAnsiTheme="minorHAnsi" w:cs="Arial"/>
          <w:color w:val="000000"/>
          <w:sz w:val="20"/>
          <w:szCs w:val="20"/>
        </w:rPr>
        <w:t>ANEXO V – Declaração de Conhecimento dos Locais e Dificuldades do Serviço/Entrega dos Bens;</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r w:rsidRPr="00313ECB">
        <w:rPr>
          <w:rFonts w:asciiTheme="minorHAnsi" w:hAnsiTheme="minorHAnsi" w:cs="Arial"/>
          <w:color w:val="000000"/>
          <w:sz w:val="20"/>
          <w:szCs w:val="20"/>
        </w:rPr>
        <w:t>ANEXO VI – Modelo de Carta-Proposta;</w:t>
      </w:r>
    </w:p>
    <w:p w:rsidR="00525A73" w:rsidRPr="00313ECB" w:rsidRDefault="00313ECB">
      <w:pPr>
        <w:numPr>
          <w:ilvl w:val="2"/>
          <w:numId w:val="2"/>
        </w:numPr>
        <w:spacing w:before="120" w:after="120" w:line="276" w:lineRule="auto"/>
        <w:ind w:left="1134" w:firstLine="0"/>
        <w:jc w:val="both"/>
        <w:rPr>
          <w:rFonts w:asciiTheme="minorHAnsi" w:hAnsiTheme="minorHAnsi"/>
          <w:color w:val="000000"/>
        </w:rPr>
      </w:pPr>
      <w:r w:rsidRPr="00313ECB">
        <w:rPr>
          <w:rFonts w:asciiTheme="minorHAnsi" w:hAnsiTheme="minorHAnsi" w:cs="Arial"/>
          <w:color w:val="000000"/>
          <w:sz w:val="20"/>
          <w:szCs w:val="20"/>
        </w:rPr>
        <w:t>ANEXO VII – Planilha de Formação de Preços.</w:t>
      </w:r>
    </w:p>
    <w:p w:rsidR="00525A73" w:rsidRPr="00313ECB" w:rsidRDefault="00313ECB">
      <w:pPr>
        <w:spacing w:after="120" w:line="276" w:lineRule="auto"/>
        <w:ind w:left="360" w:right="-15"/>
        <w:rPr>
          <w:rFonts w:asciiTheme="minorHAnsi" w:hAnsiTheme="minorHAnsi"/>
        </w:rPr>
      </w:pPr>
      <w:r w:rsidRPr="00313ECB">
        <w:rPr>
          <w:rFonts w:asciiTheme="minorHAnsi" w:hAnsiTheme="minorHAnsi" w:cs="Arial"/>
          <w:color w:val="000000"/>
          <w:sz w:val="20"/>
          <w:szCs w:val="20"/>
        </w:rPr>
        <w:t>Município de João Pessoa, XX de setembro de 2016.</w:t>
      </w:r>
    </w:p>
    <w:p w:rsidR="00525A73" w:rsidRPr="00313ECB" w:rsidRDefault="00525A73">
      <w:pPr>
        <w:spacing w:after="120" w:line="276" w:lineRule="auto"/>
        <w:ind w:right="-15" w:firstLine="720"/>
        <w:jc w:val="both"/>
        <w:rPr>
          <w:rFonts w:asciiTheme="minorHAnsi" w:hAnsiTheme="minorHAnsi" w:cs="Arial"/>
          <w:color w:val="000000"/>
          <w:sz w:val="20"/>
          <w:szCs w:val="20"/>
        </w:rPr>
      </w:pPr>
    </w:p>
    <w:p w:rsidR="00525A73" w:rsidRPr="00313ECB" w:rsidRDefault="00525A73">
      <w:pPr>
        <w:jc w:val="center"/>
        <w:rPr>
          <w:rFonts w:asciiTheme="minorHAnsi" w:hAnsiTheme="minorHAnsi" w:cs="Arial"/>
          <w:b/>
          <w:bCs/>
          <w:iCs/>
          <w:color w:val="000000"/>
          <w:sz w:val="20"/>
          <w:szCs w:val="20"/>
        </w:rPr>
      </w:pPr>
    </w:p>
    <w:p w:rsidR="00525A73" w:rsidRPr="00313ECB" w:rsidRDefault="00313ECB">
      <w:pPr>
        <w:jc w:val="center"/>
        <w:rPr>
          <w:rFonts w:asciiTheme="minorHAnsi" w:hAnsiTheme="minorHAnsi"/>
          <w:sz w:val="18"/>
          <w:szCs w:val="18"/>
        </w:rPr>
      </w:pPr>
      <w:r w:rsidRPr="00313ECB">
        <w:rPr>
          <w:rFonts w:asciiTheme="minorHAnsi" w:hAnsiTheme="minorHAnsi" w:cs="Times New Roman"/>
          <w:b/>
          <w:sz w:val="18"/>
          <w:szCs w:val="18"/>
        </w:rPr>
        <w:t>FRANCISCO PEREIRA DA SILVA JÚNIOR</w:t>
      </w:r>
    </w:p>
    <w:p w:rsidR="00525A73" w:rsidRPr="00313ECB" w:rsidRDefault="00313ECB">
      <w:pPr>
        <w:jc w:val="center"/>
        <w:rPr>
          <w:rFonts w:asciiTheme="minorHAnsi" w:hAnsiTheme="minorHAnsi"/>
          <w:sz w:val="16"/>
          <w:szCs w:val="16"/>
        </w:rPr>
      </w:pPr>
      <w:r w:rsidRPr="00313ECB">
        <w:rPr>
          <w:rFonts w:asciiTheme="minorHAnsi" w:hAnsiTheme="minorHAnsi" w:cs="Times New Roman"/>
          <w:sz w:val="16"/>
          <w:szCs w:val="16"/>
        </w:rPr>
        <w:t>Prefeito Universitário Substituto</w:t>
      </w:r>
    </w:p>
    <w:p w:rsidR="00525A73" w:rsidRPr="00313ECB" w:rsidRDefault="00313ECB">
      <w:pPr>
        <w:tabs>
          <w:tab w:val="left" w:pos="1418"/>
        </w:tabs>
        <w:jc w:val="center"/>
        <w:rPr>
          <w:rFonts w:asciiTheme="minorHAnsi" w:hAnsiTheme="minorHAnsi"/>
        </w:rPr>
      </w:pPr>
      <w:r w:rsidRPr="00313ECB">
        <w:rPr>
          <w:rFonts w:asciiTheme="minorHAnsi" w:hAnsiTheme="minorHAnsi" w:cs="Times New Roman"/>
          <w:sz w:val="16"/>
          <w:szCs w:val="16"/>
        </w:rPr>
        <w:t>Mat. SIAPE nº. 34758937</w:t>
      </w:r>
    </w:p>
    <w:sectPr w:rsidR="00525A73" w:rsidRPr="00313ECB" w:rsidSect="00525A73">
      <w:footerReference w:type="default" r:id="rId15"/>
      <w:pgSz w:w="11906" w:h="16838"/>
      <w:pgMar w:top="1418" w:right="1134" w:bottom="1418" w:left="1701"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A73" w:rsidRDefault="00525A73" w:rsidP="00525A73">
      <w:r>
        <w:separator/>
      </w:r>
    </w:p>
  </w:endnote>
  <w:endnote w:type="continuationSeparator" w:id="0">
    <w:p w:rsidR="00525A73" w:rsidRDefault="00525A73" w:rsidP="0052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A87" w:usb1="00000000"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A73" w:rsidRDefault="00525A73">
    <w:pPr>
      <w:pStyle w:val="Rodap1"/>
      <w:rPr>
        <w:rFonts w:ascii="Times New Roman" w:hAnsi="Times New Roman" w:cs="Times New Roman"/>
      </w:rPr>
    </w:pPr>
  </w:p>
  <w:p w:rsidR="00525A73" w:rsidRDefault="00651ED8">
    <w:pPr>
      <w:pStyle w:val="Rodap1"/>
      <w:pBdr>
        <w:top w:val="single" w:sz="4" w:space="1" w:color="00000A"/>
      </w:pBdr>
      <w:tabs>
        <w:tab w:val="right" w:pos="8789"/>
      </w:tabs>
      <w:jc w:val="center"/>
      <w:rPr>
        <w:sz w:val="18"/>
        <w:szCs w:val="18"/>
      </w:rPr>
    </w:pPr>
    <w:r>
      <w:rPr>
        <w:sz w:val="18"/>
        <w:szCs w:val="18"/>
      </w:rPr>
      <w:pict>
        <v:rect id="Quadro1" o:spid="_x0000_s2049" style="position:absolute;left:0;text-align:left;margin-left:194pt;margin-top:765.15pt;width:235.55pt;height:50.35pt;z-index:251658240;mso-position-horizontal-relative:page;mso-position-vertical-relative:page" filled="f" stroked="f" strokecolor="#3465a4">
          <v:fill o:detectmouseclick="t"/>
          <v:stroke joinstyle="round"/>
          <v:textbox>
            <w:txbxContent>
              <w:p w:rsidR="00525A73" w:rsidRDefault="00313ECB">
                <w:pPr>
                  <w:pStyle w:val="Contedodoquadro"/>
                  <w:spacing w:line="223" w:lineRule="exact"/>
                  <w:jc w:val="center"/>
                  <w:rPr>
                    <w:color w:val="auto"/>
                  </w:rPr>
                </w:pPr>
                <w:r>
                  <w:rPr>
                    <w:rFonts w:ascii="Calibri" w:eastAsia="Calibri" w:hAnsi="Calibri" w:cs="Calibri"/>
                    <w:color w:val="auto"/>
                    <w:spacing w:val="-1"/>
                    <w:szCs w:val="20"/>
                  </w:rPr>
                  <w:t>U</w:t>
                </w:r>
                <w:r>
                  <w:rPr>
                    <w:rFonts w:ascii="Calibri" w:eastAsia="Calibri" w:hAnsi="Calibri" w:cs="Calibri"/>
                    <w:color w:val="auto"/>
                    <w:szCs w:val="20"/>
                  </w:rPr>
                  <w:t>n</w:t>
                </w:r>
                <w:r>
                  <w:rPr>
                    <w:rFonts w:ascii="Calibri" w:eastAsia="Calibri" w:hAnsi="Calibri" w:cs="Calibri"/>
                    <w:color w:val="auto"/>
                    <w:spacing w:val="-1"/>
                    <w:szCs w:val="20"/>
                  </w:rPr>
                  <w:t>i</w:t>
                </w:r>
                <w:r>
                  <w:rPr>
                    <w:rFonts w:ascii="Calibri" w:eastAsia="Calibri" w:hAnsi="Calibri" w:cs="Calibri"/>
                    <w:color w:val="auto"/>
                    <w:spacing w:val="-2"/>
                    <w:szCs w:val="20"/>
                  </w:rPr>
                  <w:t>v</w:t>
                </w:r>
                <w:r>
                  <w:rPr>
                    <w:rFonts w:ascii="Calibri" w:eastAsia="Calibri" w:hAnsi="Calibri" w:cs="Calibri"/>
                    <w:color w:val="auto"/>
                    <w:spacing w:val="1"/>
                    <w:szCs w:val="20"/>
                  </w:rPr>
                  <w:t>e</w:t>
                </w:r>
                <w:r>
                  <w:rPr>
                    <w:rFonts w:ascii="Calibri" w:eastAsia="Calibri" w:hAnsi="Calibri" w:cs="Calibri"/>
                    <w:color w:val="auto"/>
                    <w:szCs w:val="20"/>
                  </w:rPr>
                  <w:t>r</w:t>
                </w:r>
                <w:r>
                  <w:rPr>
                    <w:rFonts w:ascii="Calibri" w:eastAsia="Calibri" w:hAnsi="Calibri" w:cs="Calibri"/>
                    <w:color w:val="auto"/>
                    <w:spacing w:val="-2"/>
                    <w:szCs w:val="20"/>
                  </w:rPr>
                  <w:t>s</w:t>
                </w:r>
                <w:r>
                  <w:rPr>
                    <w:rFonts w:ascii="Calibri" w:eastAsia="Calibri" w:hAnsi="Calibri" w:cs="Calibri"/>
                    <w:color w:val="auto"/>
                    <w:spacing w:val="-1"/>
                    <w:szCs w:val="20"/>
                  </w:rPr>
                  <w:t>i</w:t>
                </w:r>
                <w:r>
                  <w:rPr>
                    <w:rFonts w:ascii="Calibri" w:eastAsia="Calibri" w:hAnsi="Calibri" w:cs="Calibri"/>
                    <w:color w:val="auto"/>
                    <w:szCs w:val="20"/>
                  </w:rPr>
                  <w:t>dade</w:t>
                </w:r>
                <w:r>
                  <w:rPr>
                    <w:rFonts w:ascii="Calibri" w:eastAsia="Calibri" w:hAnsi="Calibri" w:cs="Calibri"/>
                    <w:color w:val="auto"/>
                    <w:spacing w:val="-9"/>
                    <w:szCs w:val="20"/>
                  </w:rPr>
                  <w:t xml:space="preserve"> </w:t>
                </w:r>
                <w:r>
                  <w:rPr>
                    <w:rFonts w:ascii="Calibri" w:eastAsia="Calibri" w:hAnsi="Calibri" w:cs="Calibri"/>
                    <w:color w:val="auto"/>
                    <w:spacing w:val="2"/>
                    <w:szCs w:val="20"/>
                  </w:rPr>
                  <w:t>F</w:t>
                </w:r>
                <w:r>
                  <w:rPr>
                    <w:rFonts w:ascii="Calibri" w:eastAsia="Calibri" w:hAnsi="Calibri" w:cs="Calibri"/>
                    <w:color w:val="auto"/>
                    <w:spacing w:val="-1"/>
                    <w:szCs w:val="20"/>
                  </w:rPr>
                  <w:t>e</w:t>
                </w:r>
                <w:r>
                  <w:rPr>
                    <w:rFonts w:ascii="Calibri" w:eastAsia="Calibri" w:hAnsi="Calibri" w:cs="Calibri"/>
                    <w:color w:val="auto"/>
                    <w:szCs w:val="20"/>
                  </w:rPr>
                  <w:t>d</w:t>
                </w:r>
                <w:r>
                  <w:rPr>
                    <w:rFonts w:ascii="Calibri" w:eastAsia="Calibri" w:hAnsi="Calibri" w:cs="Calibri"/>
                    <w:color w:val="auto"/>
                    <w:spacing w:val="-1"/>
                    <w:szCs w:val="20"/>
                  </w:rPr>
                  <w:t>e</w:t>
                </w:r>
                <w:r>
                  <w:rPr>
                    <w:rFonts w:ascii="Calibri" w:eastAsia="Calibri" w:hAnsi="Calibri" w:cs="Calibri"/>
                    <w:color w:val="auto"/>
                    <w:szCs w:val="20"/>
                  </w:rPr>
                  <w:t>ral</w:t>
                </w:r>
                <w:r>
                  <w:rPr>
                    <w:rFonts w:ascii="Calibri" w:eastAsia="Calibri" w:hAnsi="Calibri" w:cs="Calibri"/>
                    <w:color w:val="auto"/>
                    <w:spacing w:val="-7"/>
                    <w:szCs w:val="20"/>
                  </w:rPr>
                  <w:t xml:space="preserve"> </w:t>
                </w:r>
                <w:r>
                  <w:rPr>
                    <w:rFonts w:ascii="Calibri" w:eastAsia="Calibri" w:hAnsi="Calibri" w:cs="Calibri"/>
                    <w:color w:val="auto"/>
                    <w:szCs w:val="20"/>
                  </w:rPr>
                  <w:t>da</w:t>
                </w:r>
                <w:r>
                  <w:rPr>
                    <w:rFonts w:ascii="Calibri" w:eastAsia="Calibri" w:hAnsi="Calibri" w:cs="Calibri"/>
                    <w:color w:val="auto"/>
                    <w:spacing w:val="-6"/>
                    <w:szCs w:val="20"/>
                  </w:rPr>
                  <w:t xml:space="preserve"> </w:t>
                </w:r>
                <w:r>
                  <w:rPr>
                    <w:rFonts w:ascii="Calibri" w:eastAsia="Calibri" w:hAnsi="Calibri" w:cs="Calibri"/>
                    <w:color w:val="auto"/>
                    <w:szCs w:val="20"/>
                  </w:rPr>
                  <w:t>Para</w:t>
                </w:r>
                <w:r>
                  <w:rPr>
                    <w:rFonts w:ascii="Calibri" w:eastAsia="Calibri" w:hAnsi="Calibri" w:cs="Calibri"/>
                    <w:color w:val="auto"/>
                    <w:spacing w:val="2"/>
                    <w:szCs w:val="20"/>
                  </w:rPr>
                  <w:t>í</w:t>
                </w:r>
                <w:r>
                  <w:rPr>
                    <w:rFonts w:ascii="Calibri" w:eastAsia="Calibri" w:hAnsi="Calibri" w:cs="Calibri"/>
                    <w:color w:val="auto"/>
                    <w:szCs w:val="20"/>
                  </w:rPr>
                  <w:t>ba</w:t>
                </w:r>
              </w:p>
              <w:p w:rsidR="00525A73" w:rsidRDefault="00313ECB">
                <w:pPr>
                  <w:pStyle w:val="Contedodoquadro"/>
                  <w:spacing w:line="223" w:lineRule="exact"/>
                  <w:jc w:val="center"/>
                  <w:rPr>
                    <w:color w:val="auto"/>
                  </w:rPr>
                </w:pPr>
                <w:r>
                  <w:rPr>
                    <w:rFonts w:ascii="Calibri" w:eastAsia="Calibri" w:hAnsi="Calibri" w:cs="Calibri"/>
                    <w:color w:val="auto"/>
                    <w:szCs w:val="20"/>
                  </w:rPr>
                  <w:t>Pr</w:t>
                </w:r>
                <w:r>
                  <w:rPr>
                    <w:rFonts w:ascii="Calibri" w:eastAsia="Calibri" w:hAnsi="Calibri" w:cs="Calibri"/>
                    <w:color w:val="auto"/>
                    <w:spacing w:val="-1"/>
                    <w:szCs w:val="20"/>
                  </w:rPr>
                  <w:t>ef</w:t>
                </w:r>
                <w:r>
                  <w:rPr>
                    <w:rFonts w:ascii="Calibri" w:eastAsia="Calibri" w:hAnsi="Calibri" w:cs="Calibri"/>
                    <w:color w:val="auto"/>
                    <w:spacing w:val="1"/>
                    <w:szCs w:val="20"/>
                  </w:rPr>
                  <w:t>e</w:t>
                </w:r>
                <w:r>
                  <w:rPr>
                    <w:rFonts w:ascii="Calibri" w:eastAsia="Calibri" w:hAnsi="Calibri" w:cs="Calibri"/>
                    <w:color w:val="auto"/>
                    <w:spacing w:val="-1"/>
                    <w:szCs w:val="20"/>
                  </w:rPr>
                  <w:t>i</w:t>
                </w:r>
                <w:r>
                  <w:rPr>
                    <w:rFonts w:ascii="Calibri" w:eastAsia="Calibri" w:hAnsi="Calibri" w:cs="Calibri"/>
                    <w:color w:val="auto"/>
                    <w:szCs w:val="20"/>
                  </w:rPr>
                  <w:t>tura</w:t>
                </w:r>
                <w:r>
                  <w:rPr>
                    <w:rFonts w:ascii="Calibri" w:eastAsia="Calibri" w:hAnsi="Calibri" w:cs="Calibri"/>
                    <w:color w:val="auto"/>
                    <w:spacing w:val="-7"/>
                    <w:szCs w:val="20"/>
                  </w:rPr>
                  <w:t xml:space="preserve"> </w:t>
                </w:r>
                <w:r>
                  <w:rPr>
                    <w:rFonts w:ascii="Calibri" w:eastAsia="Calibri" w:hAnsi="Calibri" w:cs="Calibri"/>
                    <w:color w:val="auto"/>
                    <w:spacing w:val="-1"/>
                    <w:szCs w:val="20"/>
                  </w:rPr>
                  <w:t>U</w:t>
                </w:r>
                <w:r>
                  <w:rPr>
                    <w:rFonts w:ascii="Calibri" w:eastAsia="Calibri" w:hAnsi="Calibri" w:cs="Calibri"/>
                    <w:color w:val="auto"/>
                    <w:szCs w:val="20"/>
                  </w:rPr>
                  <w:t>n</w:t>
                </w:r>
                <w:r>
                  <w:rPr>
                    <w:rFonts w:ascii="Calibri" w:eastAsia="Calibri" w:hAnsi="Calibri" w:cs="Calibri"/>
                    <w:color w:val="auto"/>
                    <w:spacing w:val="-1"/>
                    <w:szCs w:val="20"/>
                  </w:rPr>
                  <w:t>i</w:t>
                </w:r>
                <w:r>
                  <w:rPr>
                    <w:rFonts w:ascii="Calibri" w:eastAsia="Calibri" w:hAnsi="Calibri" w:cs="Calibri"/>
                    <w:color w:val="auto"/>
                    <w:spacing w:val="1"/>
                    <w:szCs w:val="20"/>
                  </w:rPr>
                  <w:t>v</w:t>
                </w:r>
                <w:r>
                  <w:rPr>
                    <w:rFonts w:ascii="Calibri" w:eastAsia="Calibri" w:hAnsi="Calibri" w:cs="Calibri"/>
                    <w:color w:val="auto"/>
                    <w:spacing w:val="-1"/>
                    <w:szCs w:val="20"/>
                  </w:rPr>
                  <w:t>e</w:t>
                </w:r>
                <w:r>
                  <w:rPr>
                    <w:rFonts w:ascii="Calibri" w:eastAsia="Calibri" w:hAnsi="Calibri" w:cs="Calibri"/>
                    <w:color w:val="auto"/>
                    <w:szCs w:val="20"/>
                  </w:rPr>
                  <w:t>r</w:t>
                </w:r>
                <w:r>
                  <w:rPr>
                    <w:rFonts w:ascii="Calibri" w:eastAsia="Calibri" w:hAnsi="Calibri" w:cs="Calibri"/>
                    <w:color w:val="auto"/>
                    <w:spacing w:val="-2"/>
                    <w:szCs w:val="20"/>
                  </w:rPr>
                  <w:t>s</w:t>
                </w:r>
                <w:r>
                  <w:rPr>
                    <w:rFonts w:ascii="Calibri" w:eastAsia="Calibri" w:hAnsi="Calibri" w:cs="Calibri"/>
                    <w:color w:val="auto"/>
                    <w:spacing w:val="-1"/>
                    <w:szCs w:val="20"/>
                  </w:rPr>
                  <w:t>i</w:t>
                </w:r>
                <w:r>
                  <w:rPr>
                    <w:rFonts w:ascii="Calibri" w:eastAsia="Calibri" w:hAnsi="Calibri" w:cs="Calibri"/>
                    <w:color w:val="auto"/>
                    <w:szCs w:val="20"/>
                  </w:rPr>
                  <w:t>tár</w:t>
                </w:r>
                <w:r>
                  <w:rPr>
                    <w:rFonts w:ascii="Calibri" w:eastAsia="Calibri" w:hAnsi="Calibri" w:cs="Calibri"/>
                    <w:color w:val="auto"/>
                    <w:spacing w:val="-1"/>
                    <w:szCs w:val="20"/>
                  </w:rPr>
                  <w:t>i</w:t>
                </w:r>
                <w:r>
                  <w:rPr>
                    <w:rFonts w:ascii="Calibri" w:eastAsia="Calibri" w:hAnsi="Calibri" w:cs="Calibri"/>
                    <w:color w:val="auto"/>
                    <w:szCs w:val="20"/>
                  </w:rPr>
                  <w:t>a</w:t>
                </w:r>
              </w:p>
            </w:txbxContent>
          </v:textbox>
          <w10:wrap type="square" anchorx="page" anchory="page"/>
        </v:rect>
      </w:pict>
    </w:r>
    <w:r w:rsidR="00313ECB">
      <w:rPr>
        <w:noProof/>
        <w:sz w:val="18"/>
        <w:szCs w:val="18"/>
      </w:rPr>
      <w:drawing>
        <wp:anchor distT="0" distB="635" distL="114300" distR="123190" simplePos="0" relativeHeight="251657216" behindDoc="1" locked="0" layoutInCell="1" allowOverlap="1">
          <wp:simplePos x="0" y="0"/>
          <wp:positionH relativeFrom="column">
            <wp:posOffset>1164590</wp:posOffset>
          </wp:positionH>
          <wp:positionV relativeFrom="paragraph">
            <wp:posOffset>30480</wp:posOffset>
          </wp:positionV>
          <wp:extent cx="219710" cy="285115"/>
          <wp:effectExtent l="0" t="0" r="0" b="0"/>
          <wp:wrapNone/>
          <wp:docPr id="6"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8" descr="Sem título"/>
                  <pic:cNvPicPr>
                    <a:picLocks noChangeAspect="1" noChangeArrowheads="1"/>
                  </pic:cNvPicPr>
                </pic:nvPicPr>
                <pic:blipFill>
                  <a:blip r:embed="rId1"/>
                  <a:stretch>
                    <a:fillRect/>
                  </a:stretch>
                </pic:blipFill>
                <pic:spPr bwMode="auto">
                  <a:xfrm>
                    <a:off x="0" y="0"/>
                    <a:ext cx="219710" cy="285115"/>
                  </a:xfrm>
                  <a:prstGeom prst="rect">
                    <a:avLst/>
                  </a:prstGeom>
                </pic:spPr>
              </pic:pic>
            </a:graphicData>
          </a:graphic>
        </wp:anchor>
      </w:drawing>
    </w:r>
  </w:p>
  <w:p w:rsidR="00525A73" w:rsidRDefault="00525A73">
    <w:pPr>
      <w:spacing w:line="200" w:lineRule="exact"/>
      <w:rPr>
        <w:sz w:val="18"/>
        <w:szCs w:val="18"/>
      </w:rPr>
    </w:pPr>
  </w:p>
  <w:p w:rsidR="00525A73" w:rsidRDefault="00525A73">
    <w:pPr>
      <w:pStyle w:val="Rodap1"/>
    </w:pPr>
  </w:p>
  <w:p w:rsidR="00525A73" w:rsidRDefault="00525A73">
    <w:pPr>
      <w:pStyle w:val="Rodap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A73" w:rsidRDefault="00525A73" w:rsidP="00525A73">
      <w:r>
        <w:separator/>
      </w:r>
    </w:p>
  </w:footnote>
  <w:footnote w:type="continuationSeparator" w:id="0">
    <w:p w:rsidR="00525A73" w:rsidRDefault="00525A73" w:rsidP="00525A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53226"/>
    <w:multiLevelType w:val="multilevel"/>
    <w:tmpl w:val="52C8181E"/>
    <w:lvl w:ilvl="0">
      <w:start w:val="1"/>
      <w:numFmt w:val="decimal"/>
      <w:lvlText w:val="%1."/>
      <w:lvlJc w:val="left"/>
      <w:pPr>
        <w:ind w:left="360" w:hanging="360"/>
      </w:pPr>
      <w:rPr>
        <w:rFonts w:ascii="Arial" w:hAnsi="Arial"/>
        <w:b/>
        <w:sz w:val="20"/>
      </w:rPr>
    </w:lvl>
    <w:lvl w:ilvl="1">
      <w:start w:val="1"/>
      <w:numFmt w:val="decimal"/>
      <w:lvlText w:val="%1.%2."/>
      <w:lvlJc w:val="left"/>
      <w:pPr>
        <w:ind w:left="1000" w:hanging="432"/>
      </w:pPr>
      <w:rPr>
        <w:rFonts w:ascii="Arial" w:hAnsi="Arial"/>
        <w:b/>
        <w:sz w:val="20"/>
        <w:szCs w:val="20"/>
      </w:rPr>
    </w:lvl>
    <w:lvl w:ilvl="2">
      <w:start w:val="1"/>
      <w:numFmt w:val="decimal"/>
      <w:lvlText w:val="%1.%2.%3."/>
      <w:lvlJc w:val="left"/>
      <w:pPr>
        <w:ind w:left="2206" w:hanging="504"/>
      </w:pPr>
      <w:rPr>
        <w:rFonts w:ascii="Arial" w:hAnsi="Arial"/>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84F5D95"/>
    <w:multiLevelType w:val="multilevel"/>
    <w:tmpl w:val="CA3260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0D37AEC"/>
    <w:multiLevelType w:val="multilevel"/>
    <w:tmpl w:val="682AA0B8"/>
    <w:lvl w:ilvl="0">
      <w:start w:val="3"/>
      <w:numFmt w:val="decimal"/>
      <w:lvlText w:val="%1."/>
      <w:lvlJc w:val="left"/>
      <w:pPr>
        <w:ind w:left="384" w:hanging="384"/>
      </w:pPr>
    </w:lvl>
    <w:lvl w:ilvl="1">
      <w:start w:val="1"/>
      <w:numFmt w:val="decimal"/>
      <w:lvlText w:val="%1.%2."/>
      <w:lvlJc w:val="left"/>
      <w:pPr>
        <w:ind w:left="1288" w:hanging="720"/>
      </w:pPr>
      <w:rPr>
        <w:rFonts w:ascii="Calibri" w:hAnsi="Calibri"/>
        <w:b w:val="0"/>
        <w:sz w:val="20"/>
        <w:szCs w:val="20"/>
      </w:rPr>
    </w:lvl>
    <w:lvl w:ilvl="2">
      <w:start w:val="1"/>
      <w:numFmt w:val="decimal"/>
      <w:lvlText w:val="%1.%2.%3."/>
      <w:lvlJc w:val="left"/>
      <w:pPr>
        <w:ind w:left="1856" w:hanging="720"/>
      </w:pPr>
      <w:rPr>
        <w:rFonts w:ascii="Arial" w:hAnsi="Arial"/>
        <w:b w:val="0"/>
        <w:sz w:val="20"/>
        <w:szCs w:val="20"/>
      </w:rPr>
    </w:lvl>
    <w:lvl w:ilvl="3">
      <w:start w:val="1"/>
      <w:numFmt w:val="decimal"/>
      <w:lvlText w:val="%1.%2.%3.%4."/>
      <w:lvlJc w:val="left"/>
      <w:pPr>
        <w:ind w:left="2784" w:hanging="1080"/>
      </w:pPr>
    </w:lvl>
    <w:lvl w:ilvl="4">
      <w:start w:val="1"/>
      <w:numFmt w:val="decimal"/>
      <w:lvlText w:val="%1.%2.%3.%4.%5."/>
      <w:lvlJc w:val="left"/>
      <w:pPr>
        <w:ind w:left="3712" w:hanging="144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6136" w:hanging="2160"/>
      </w:pPr>
    </w:lvl>
    <w:lvl w:ilvl="8">
      <w:start w:val="1"/>
      <w:numFmt w:val="decimal"/>
      <w:lvlText w:val="%1.%2.%3.%4.%5.%6.%7.%8.%9."/>
      <w:lvlJc w:val="left"/>
      <w:pPr>
        <w:ind w:left="6704" w:hanging="21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5A73"/>
    <w:rsid w:val="00313ECB"/>
    <w:rsid w:val="00525A73"/>
    <w:rsid w:val="00651E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9D636BD1-612B-4782-917E-268028B6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A73"/>
    <w:rPr>
      <w:rFonts w:ascii="Ecofont_Spranq_eco_Sans" w:hAnsi="Ecofont_Spranq_eco_Sans" w:cs="Tahoma"/>
      <w:color w:val="00000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qFormat/>
    <w:rsid w:val="00525A73"/>
    <w:pPr>
      <w:keepNext/>
      <w:keepLines/>
      <w:spacing w:before="240"/>
      <w:outlineLvl w:val="0"/>
    </w:pPr>
    <w:rPr>
      <w:rFonts w:ascii="Cambria" w:eastAsia="MS Gothic" w:hAnsi="Cambria" w:cs="Times New Roman"/>
      <w:color w:val="365F91"/>
      <w:sz w:val="32"/>
      <w:szCs w:val="32"/>
    </w:rPr>
  </w:style>
  <w:style w:type="paragraph" w:customStyle="1" w:styleId="Ttulo21">
    <w:name w:val="Título 21"/>
    <w:basedOn w:val="Normal"/>
    <w:next w:val="Normal"/>
    <w:qFormat/>
    <w:rsid w:val="00525A73"/>
    <w:pPr>
      <w:keepNext/>
      <w:tabs>
        <w:tab w:val="left" w:pos="1701"/>
      </w:tabs>
      <w:ind w:right="-1"/>
      <w:jc w:val="center"/>
      <w:outlineLvl w:val="1"/>
    </w:pPr>
    <w:rPr>
      <w:rFonts w:ascii="Times New Roman" w:hAnsi="Times New Roman" w:cs="Times New Roman"/>
      <w:b/>
      <w:color w:val="000000"/>
      <w:szCs w:val="20"/>
    </w:rPr>
  </w:style>
  <w:style w:type="character" w:customStyle="1" w:styleId="BalloonTextChar">
    <w:name w:val="Balloon Text Char"/>
    <w:qFormat/>
    <w:rsid w:val="00525A73"/>
    <w:rPr>
      <w:rFonts w:ascii="Tahoma" w:hAnsi="Tahoma" w:cs="Tahoma"/>
      <w:sz w:val="16"/>
      <w:szCs w:val="16"/>
    </w:rPr>
  </w:style>
  <w:style w:type="character" w:customStyle="1" w:styleId="Heading2Char">
    <w:name w:val="Heading 2 Char"/>
    <w:qFormat/>
    <w:rsid w:val="00525A73"/>
    <w:rPr>
      <w:b/>
      <w:color w:val="000000"/>
      <w:sz w:val="24"/>
    </w:rPr>
  </w:style>
  <w:style w:type="character" w:customStyle="1" w:styleId="normalchar1">
    <w:name w:val="normal__char1"/>
    <w:qFormat/>
    <w:rsid w:val="00525A73"/>
    <w:rPr>
      <w:rFonts w:ascii="Arial" w:hAnsi="Arial" w:cs="Arial"/>
      <w:strike w:val="0"/>
      <w:dstrike w:val="0"/>
      <w:sz w:val="24"/>
      <w:szCs w:val="24"/>
      <w:u w:val="none"/>
      <w:effect w:val="none"/>
    </w:rPr>
  </w:style>
  <w:style w:type="character" w:customStyle="1" w:styleId="apple-style-span">
    <w:name w:val="apple-style-span"/>
    <w:basedOn w:val="Fontepargpadro"/>
    <w:qFormat/>
    <w:rsid w:val="00525A73"/>
  </w:style>
  <w:style w:type="character" w:customStyle="1" w:styleId="LinkdaInternet">
    <w:name w:val="Link da Internet"/>
    <w:rsid w:val="00525A73"/>
    <w:rPr>
      <w:color w:val="000080"/>
      <w:u w:val="single"/>
    </w:rPr>
  </w:style>
  <w:style w:type="character" w:customStyle="1" w:styleId="QuoteChar">
    <w:name w:val="Quote Char"/>
    <w:qFormat/>
    <w:rsid w:val="00525A73"/>
    <w:rPr>
      <w:rFonts w:ascii="Arial" w:eastAsia="Calibri" w:hAnsi="Arial" w:cs="Tahoma"/>
      <w:i/>
      <w:iCs/>
      <w:color w:val="000000"/>
      <w:szCs w:val="24"/>
      <w:highlight w:val="yellow"/>
      <w:lang w:eastAsia="en-US"/>
    </w:rPr>
  </w:style>
  <w:style w:type="character" w:customStyle="1" w:styleId="citao2Char">
    <w:name w:val="citação 2 Char"/>
    <w:basedOn w:val="QuoteChar"/>
    <w:qFormat/>
    <w:rsid w:val="00525A73"/>
    <w:rPr>
      <w:rFonts w:ascii="Arial" w:eastAsia="Calibri" w:hAnsi="Arial" w:cs="Tahoma"/>
      <w:i/>
      <w:iCs/>
      <w:color w:val="000000"/>
      <w:szCs w:val="24"/>
      <w:highlight w:val="yellow"/>
      <w:lang w:eastAsia="en-US"/>
    </w:rPr>
  </w:style>
  <w:style w:type="character" w:customStyle="1" w:styleId="HeaderChar">
    <w:name w:val="Header Char"/>
    <w:qFormat/>
    <w:rsid w:val="00525A73"/>
    <w:rPr>
      <w:rFonts w:ascii="Ecofont_Spranq_eco_Sans" w:hAnsi="Ecofont_Spranq_eco_Sans" w:cs="Tahoma"/>
      <w:sz w:val="24"/>
      <w:szCs w:val="24"/>
    </w:rPr>
  </w:style>
  <w:style w:type="character" w:customStyle="1" w:styleId="FooterChar">
    <w:name w:val="Footer Char"/>
    <w:qFormat/>
    <w:rsid w:val="00525A73"/>
    <w:rPr>
      <w:rFonts w:ascii="Ecofont_Spranq_eco_Sans" w:hAnsi="Ecofont_Spranq_eco_Sans" w:cs="Tahoma"/>
      <w:sz w:val="24"/>
      <w:szCs w:val="24"/>
    </w:rPr>
  </w:style>
  <w:style w:type="character" w:styleId="nfase">
    <w:name w:val="Emphasis"/>
    <w:qFormat/>
    <w:rsid w:val="00525A73"/>
    <w:rPr>
      <w:i/>
      <w:iCs/>
    </w:rPr>
  </w:style>
  <w:style w:type="character" w:customStyle="1" w:styleId="Nivel01Char">
    <w:name w:val="Nivel 01 Char"/>
    <w:basedOn w:val="Fontepargpadro"/>
    <w:qFormat/>
    <w:rsid w:val="00525A73"/>
    <w:rPr>
      <w:rFonts w:ascii="Ecofont_Spranq_eco_Sans" w:eastAsia="MS Gothic" w:hAnsi="Ecofont_Spranq_eco_Sans"/>
      <w:b/>
      <w:bCs/>
      <w:color w:val="000000"/>
    </w:rPr>
  </w:style>
  <w:style w:type="character" w:customStyle="1" w:styleId="Heading1Char">
    <w:name w:val="Heading 1 Char"/>
    <w:basedOn w:val="Fontepargpadro"/>
    <w:qFormat/>
    <w:rsid w:val="00525A73"/>
    <w:rPr>
      <w:rFonts w:ascii="Cambria" w:eastAsia="MS Gothic" w:hAnsi="Cambria" w:cs="Times New Roman"/>
      <w:color w:val="365F91"/>
      <w:sz w:val="32"/>
      <w:szCs w:val="32"/>
    </w:rPr>
  </w:style>
  <w:style w:type="character" w:customStyle="1" w:styleId="ListLabel1">
    <w:name w:val="ListLabel 1"/>
    <w:qFormat/>
    <w:rsid w:val="00525A73"/>
    <w:rPr>
      <w:rFonts w:ascii="Arial" w:hAnsi="Arial"/>
      <w:b/>
      <w:sz w:val="20"/>
    </w:rPr>
  </w:style>
  <w:style w:type="character" w:customStyle="1" w:styleId="ListLabel2">
    <w:name w:val="ListLabel 2"/>
    <w:qFormat/>
    <w:rsid w:val="00525A73"/>
    <w:rPr>
      <w:rFonts w:ascii="Arial" w:hAnsi="Arial"/>
      <w:b/>
      <w:sz w:val="20"/>
      <w:szCs w:val="20"/>
    </w:rPr>
  </w:style>
  <w:style w:type="character" w:customStyle="1" w:styleId="ListLabel3">
    <w:name w:val="ListLabel 3"/>
    <w:qFormat/>
    <w:rsid w:val="00525A73"/>
    <w:rPr>
      <w:rFonts w:ascii="Arial" w:hAnsi="Arial"/>
      <w:sz w:val="20"/>
      <w:szCs w:val="20"/>
    </w:rPr>
  </w:style>
  <w:style w:type="character" w:customStyle="1" w:styleId="ListLabel4">
    <w:name w:val="ListLabel 4"/>
    <w:qFormat/>
    <w:rsid w:val="00525A73"/>
    <w:rPr>
      <w:rFonts w:eastAsia="Arial Unicode MS"/>
    </w:rPr>
  </w:style>
  <w:style w:type="character" w:customStyle="1" w:styleId="ListLabel5">
    <w:name w:val="ListLabel 5"/>
    <w:qFormat/>
    <w:rsid w:val="00525A73"/>
    <w:rPr>
      <w:rFonts w:cs="Arial"/>
      <w:i/>
      <w:color w:val="FF0000"/>
    </w:rPr>
  </w:style>
  <w:style w:type="character" w:customStyle="1" w:styleId="ListLabel6">
    <w:name w:val="ListLabel 6"/>
    <w:qFormat/>
    <w:rsid w:val="00525A73"/>
    <w:rPr>
      <w:color w:val="0000FF"/>
    </w:rPr>
  </w:style>
  <w:style w:type="character" w:customStyle="1" w:styleId="ListLabel7">
    <w:name w:val="ListLabel 7"/>
    <w:qFormat/>
    <w:rsid w:val="00525A73"/>
    <w:rPr>
      <w:b w:val="0"/>
    </w:rPr>
  </w:style>
  <w:style w:type="character" w:customStyle="1" w:styleId="ListLabel8">
    <w:name w:val="ListLabel 8"/>
    <w:qFormat/>
    <w:rsid w:val="00525A73"/>
    <w:rPr>
      <w:b/>
      <w:i w:val="0"/>
    </w:rPr>
  </w:style>
  <w:style w:type="character" w:customStyle="1" w:styleId="ListLabel9">
    <w:name w:val="ListLabel 9"/>
    <w:qFormat/>
    <w:rsid w:val="00525A73"/>
    <w:rPr>
      <w:b/>
      <w:i w:val="0"/>
      <w:color w:val="00000A"/>
    </w:rPr>
  </w:style>
  <w:style w:type="character" w:customStyle="1" w:styleId="ListLabel10">
    <w:name w:val="ListLabel 10"/>
    <w:qFormat/>
    <w:rsid w:val="00525A73"/>
    <w:rPr>
      <w:rFonts w:ascii="Arial" w:hAnsi="Arial"/>
      <w:b/>
      <w:sz w:val="20"/>
    </w:rPr>
  </w:style>
  <w:style w:type="character" w:customStyle="1" w:styleId="ListLabel11">
    <w:name w:val="ListLabel 11"/>
    <w:qFormat/>
    <w:rsid w:val="00525A73"/>
    <w:rPr>
      <w:rFonts w:ascii="Arial" w:hAnsi="Arial"/>
      <w:b/>
      <w:sz w:val="20"/>
      <w:szCs w:val="20"/>
    </w:rPr>
  </w:style>
  <w:style w:type="character" w:customStyle="1" w:styleId="ListLabel12">
    <w:name w:val="ListLabel 12"/>
    <w:qFormat/>
    <w:rsid w:val="00525A73"/>
    <w:rPr>
      <w:rFonts w:ascii="Arial" w:hAnsi="Arial"/>
      <w:sz w:val="20"/>
      <w:szCs w:val="20"/>
    </w:rPr>
  </w:style>
  <w:style w:type="character" w:customStyle="1" w:styleId="ListLabel13">
    <w:name w:val="ListLabel 13"/>
    <w:qFormat/>
    <w:rsid w:val="00525A73"/>
    <w:rPr>
      <w:rFonts w:ascii="Arial" w:hAnsi="Arial"/>
      <w:b/>
      <w:sz w:val="20"/>
    </w:rPr>
  </w:style>
  <w:style w:type="character" w:customStyle="1" w:styleId="ListLabel14">
    <w:name w:val="ListLabel 14"/>
    <w:qFormat/>
    <w:rsid w:val="00525A73"/>
    <w:rPr>
      <w:rFonts w:ascii="Arial" w:hAnsi="Arial"/>
      <w:b/>
      <w:sz w:val="20"/>
      <w:szCs w:val="20"/>
    </w:rPr>
  </w:style>
  <w:style w:type="character" w:customStyle="1" w:styleId="ListLabel15">
    <w:name w:val="ListLabel 15"/>
    <w:qFormat/>
    <w:rsid w:val="00525A73"/>
    <w:rPr>
      <w:rFonts w:ascii="Arial" w:hAnsi="Arial"/>
      <w:sz w:val="20"/>
      <w:szCs w:val="20"/>
    </w:rPr>
  </w:style>
  <w:style w:type="character" w:customStyle="1" w:styleId="ListLabel16">
    <w:name w:val="ListLabel 16"/>
    <w:qFormat/>
    <w:rsid w:val="00525A73"/>
    <w:rPr>
      <w:rFonts w:ascii="Arial" w:hAnsi="Arial"/>
      <w:b w:val="0"/>
      <w:sz w:val="20"/>
      <w:szCs w:val="20"/>
    </w:rPr>
  </w:style>
  <w:style w:type="character" w:customStyle="1" w:styleId="ListLabel17">
    <w:name w:val="ListLabel 17"/>
    <w:qFormat/>
    <w:rsid w:val="00525A73"/>
    <w:rPr>
      <w:rFonts w:ascii="Arial" w:hAnsi="Arial"/>
      <w:b w:val="0"/>
      <w:sz w:val="20"/>
      <w:szCs w:val="20"/>
    </w:rPr>
  </w:style>
  <w:style w:type="character" w:customStyle="1" w:styleId="ListLabel18">
    <w:name w:val="ListLabel 18"/>
    <w:qFormat/>
    <w:rsid w:val="00525A73"/>
    <w:rPr>
      <w:rFonts w:ascii="Arial" w:hAnsi="Arial"/>
      <w:b/>
      <w:sz w:val="20"/>
    </w:rPr>
  </w:style>
  <w:style w:type="character" w:customStyle="1" w:styleId="ListLabel19">
    <w:name w:val="ListLabel 19"/>
    <w:qFormat/>
    <w:rsid w:val="00525A73"/>
    <w:rPr>
      <w:rFonts w:ascii="Arial" w:hAnsi="Arial"/>
      <w:b/>
      <w:sz w:val="20"/>
      <w:szCs w:val="20"/>
    </w:rPr>
  </w:style>
  <w:style w:type="character" w:customStyle="1" w:styleId="ListLabel20">
    <w:name w:val="ListLabel 20"/>
    <w:qFormat/>
    <w:rsid w:val="00525A73"/>
    <w:rPr>
      <w:rFonts w:ascii="Arial" w:hAnsi="Arial"/>
      <w:sz w:val="20"/>
      <w:szCs w:val="20"/>
    </w:rPr>
  </w:style>
  <w:style w:type="character" w:customStyle="1" w:styleId="ListLabel21">
    <w:name w:val="ListLabel 21"/>
    <w:qFormat/>
    <w:rsid w:val="00525A73"/>
    <w:rPr>
      <w:rFonts w:ascii="Arial" w:hAnsi="Arial"/>
      <w:b/>
      <w:sz w:val="20"/>
      <w:szCs w:val="20"/>
    </w:rPr>
  </w:style>
  <w:style w:type="character" w:customStyle="1" w:styleId="ListLabel22">
    <w:name w:val="ListLabel 22"/>
    <w:qFormat/>
    <w:rsid w:val="00525A73"/>
    <w:rPr>
      <w:rFonts w:ascii="Arial" w:hAnsi="Arial"/>
      <w:b w:val="0"/>
      <w:sz w:val="20"/>
      <w:szCs w:val="20"/>
    </w:rPr>
  </w:style>
  <w:style w:type="paragraph" w:styleId="Ttulo">
    <w:name w:val="Title"/>
    <w:basedOn w:val="Normal"/>
    <w:next w:val="Corpodetexto"/>
    <w:qFormat/>
    <w:rsid w:val="00525A73"/>
    <w:pPr>
      <w:keepNext/>
      <w:spacing w:before="240" w:after="120"/>
    </w:pPr>
    <w:rPr>
      <w:rFonts w:ascii="Liberation Sans" w:eastAsia="Microsoft YaHei" w:hAnsi="Liberation Sans" w:cs="Lucida Sans"/>
      <w:sz w:val="28"/>
      <w:szCs w:val="28"/>
    </w:rPr>
  </w:style>
  <w:style w:type="paragraph" w:styleId="Corpodetexto">
    <w:name w:val="Body Text"/>
    <w:basedOn w:val="Normal"/>
    <w:rsid w:val="00525A73"/>
    <w:pPr>
      <w:spacing w:after="140" w:line="288" w:lineRule="auto"/>
    </w:pPr>
  </w:style>
  <w:style w:type="paragraph" w:styleId="Lista">
    <w:name w:val="List"/>
    <w:basedOn w:val="Corpodetexto"/>
    <w:rsid w:val="00525A73"/>
    <w:rPr>
      <w:rFonts w:cs="Lucida Sans"/>
    </w:rPr>
  </w:style>
  <w:style w:type="paragraph" w:customStyle="1" w:styleId="Legenda1">
    <w:name w:val="Legenda1"/>
    <w:basedOn w:val="Normal"/>
    <w:qFormat/>
    <w:rsid w:val="00525A73"/>
    <w:pPr>
      <w:suppressLineNumbers/>
      <w:spacing w:before="120" w:after="120"/>
    </w:pPr>
    <w:rPr>
      <w:rFonts w:cs="Lucida Sans"/>
      <w:i/>
      <w:iCs/>
    </w:rPr>
  </w:style>
  <w:style w:type="paragraph" w:customStyle="1" w:styleId="ndice">
    <w:name w:val="Índice"/>
    <w:basedOn w:val="Normal"/>
    <w:qFormat/>
    <w:rsid w:val="00525A73"/>
    <w:pPr>
      <w:suppressLineNumbers/>
    </w:pPr>
    <w:rPr>
      <w:rFonts w:cs="Lucida Sans"/>
    </w:rPr>
  </w:style>
  <w:style w:type="paragraph" w:styleId="PargrafodaLista">
    <w:name w:val="List Paragraph"/>
    <w:basedOn w:val="Normal"/>
    <w:qFormat/>
    <w:rsid w:val="00525A73"/>
    <w:pPr>
      <w:ind w:left="720"/>
      <w:contextualSpacing/>
    </w:pPr>
  </w:style>
  <w:style w:type="paragraph" w:styleId="NormalWeb">
    <w:name w:val="Normal (Web)"/>
    <w:basedOn w:val="Normal"/>
    <w:qFormat/>
    <w:rsid w:val="00525A73"/>
    <w:pPr>
      <w:spacing w:before="280" w:after="280"/>
    </w:pPr>
    <w:rPr>
      <w:rFonts w:ascii="Times New Roman" w:hAnsi="Times New Roman" w:cs="Times New Roman"/>
    </w:rPr>
  </w:style>
  <w:style w:type="paragraph" w:styleId="Textodebalo">
    <w:name w:val="Balloon Text"/>
    <w:basedOn w:val="Normal"/>
    <w:qFormat/>
    <w:rsid w:val="00525A73"/>
    <w:rPr>
      <w:rFonts w:ascii="Tahoma" w:hAnsi="Tahoma"/>
      <w:sz w:val="16"/>
      <w:szCs w:val="16"/>
    </w:rPr>
  </w:style>
  <w:style w:type="paragraph" w:customStyle="1" w:styleId="Nvel2">
    <w:name w:val="Nível 2"/>
    <w:basedOn w:val="Normal"/>
    <w:next w:val="Normal"/>
    <w:qFormat/>
    <w:rsid w:val="00525A73"/>
    <w:pPr>
      <w:spacing w:after="120"/>
      <w:jc w:val="both"/>
    </w:pPr>
    <w:rPr>
      <w:rFonts w:ascii="Arial" w:hAnsi="Arial" w:cs="Times New Roman"/>
      <w:b/>
      <w:szCs w:val="20"/>
    </w:rPr>
  </w:style>
  <w:style w:type="paragraph" w:styleId="Citao">
    <w:name w:val="Quote"/>
    <w:basedOn w:val="Normal"/>
    <w:next w:val="Normal"/>
    <w:qFormat/>
    <w:rsid w:val="00525A7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paragraph" w:styleId="Commarcadores5">
    <w:name w:val="List Bullet 5"/>
    <w:basedOn w:val="Normal"/>
    <w:qFormat/>
    <w:rsid w:val="00525A73"/>
    <w:pPr>
      <w:contextualSpacing/>
    </w:pPr>
  </w:style>
  <w:style w:type="paragraph" w:customStyle="1" w:styleId="citao2">
    <w:name w:val="citação 2"/>
    <w:basedOn w:val="Citao"/>
    <w:qFormat/>
    <w:rsid w:val="00525A73"/>
    <w:rPr>
      <w:szCs w:val="20"/>
    </w:rPr>
  </w:style>
  <w:style w:type="paragraph" w:customStyle="1" w:styleId="Cabealho1">
    <w:name w:val="Cabeçalho1"/>
    <w:basedOn w:val="Normal"/>
    <w:rsid w:val="00525A73"/>
    <w:pPr>
      <w:tabs>
        <w:tab w:val="center" w:pos="4252"/>
        <w:tab w:val="right" w:pos="8504"/>
      </w:tabs>
    </w:pPr>
  </w:style>
  <w:style w:type="paragraph" w:customStyle="1" w:styleId="Rodap1">
    <w:name w:val="Rodapé1"/>
    <w:basedOn w:val="Normal"/>
    <w:rsid w:val="00525A73"/>
    <w:pPr>
      <w:tabs>
        <w:tab w:val="center" w:pos="4252"/>
        <w:tab w:val="right" w:pos="8504"/>
      </w:tabs>
    </w:pPr>
  </w:style>
  <w:style w:type="paragraph" w:customStyle="1" w:styleId="Nivel01">
    <w:name w:val="Nivel 01"/>
    <w:basedOn w:val="Ttulo11"/>
    <w:next w:val="Normal"/>
    <w:qFormat/>
    <w:rsid w:val="00525A73"/>
    <w:pPr>
      <w:tabs>
        <w:tab w:val="left" w:pos="567"/>
      </w:tabs>
      <w:jc w:val="both"/>
    </w:pPr>
    <w:rPr>
      <w:rFonts w:ascii="Ecofont_Spranq_eco_Sans" w:hAnsi="Ecofont_Spranq_eco_Sans"/>
      <w:b/>
      <w:bCs/>
      <w:color w:val="000000"/>
      <w:sz w:val="20"/>
      <w:szCs w:val="20"/>
    </w:rPr>
  </w:style>
  <w:style w:type="paragraph" w:customStyle="1" w:styleId="Nivel1">
    <w:name w:val="Nivel1"/>
    <w:basedOn w:val="Ttulo11"/>
    <w:next w:val="Normal"/>
    <w:qFormat/>
    <w:rsid w:val="00525A73"/>
    <w:pPr>
      <w:spacing w:before="480" w:after="120" w:line="276" w:lineRule="auto"/>
      <w:ind w:left="357" w:hanging="357"/>
      <w:jc w:val="both"/>
    </w:pPr>
    <w:rPr>
      <w:rFonts w:ascii="Arial" w:hAnsi="Arial" w:cs="Arial"/>
      <w:b/>
      <w:color w:val="000000"/>
      <w:sz w:val="20"/>
      <w:szCs w:val="20"/>
    </w:rPr>
  </w:style>
  <w:style w:type="paragraph" w:customStyle="1" w:styleId="Contedodatabela">
    <w:name w:val="Conteúdo da tabela"/>
    <w:basedOn w:val="Normal"/>
    <w:qFormat/>
    <w:rsid w:val="00525A73"/>
  </w:style>
  <w:style w:type="paragraph" w:customStyle="1" w:styleId="Ttulodetabela">
    <w:name w:val="Título de tabela"/>
    <w:basedOn w:val="Contedodatabela"/>
    <w:qFormat/>
    <w:rsid w:val="00525A73"/>
  </w:style>
  <w:style w:type="paragraph" w:customStyle="1" w:styleId="Contedodoquadro">
    <w:name w:val="Conteúdo do quadro"/>
    <w:basedOn w:val="Normal"/>
    <w:qFormat/>
    <w:rsid w:val="00525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cnj.jus.br/improbidade_adm/consultar_requerido.ph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j.jus.br/improbidade_adm/consultar_requerido.ph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www.cnj.jus.br/improbidade_adm/consultar_requerido.php"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22</Pages>
  <Words>9331</Words>
  <Characters>50392</Characters>
  <Application>Microsoft Office Word</Application>
  <DocSecurity>0</DocSecurity>
  <Lines>419</Lines>
  <Paragraphs>119</Paragraphs>
  <ScaleCrop>false</ScaleCrop>
  <Company>EDUARDO DOTTI</Company>
  <LinksUpToDate>false</LinksUpToDate>
  <CharactersWithSpaces>59604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CPL PU UFPB</cp:lastModifiedBy>
  <cp:revision>48</cp:revision>
  <cp:lastPrinted>2010-11-03T18:07:00Z</cp:lastPrinted>
  <dcterms:created xsi:type="dcterms:W3CDTF">2014-01-21T11:54:00Z</dcterms:created>
  <dcterms:modified xsi:type="dcterms:W3CDTF">2016-09-26T14:31:00Z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