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bookmarkStart w:id="0" w:name="_GoBack"/>
      <w:bookmarkEnd w:id="0"/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4C39A7" w:rsidRPr="00101040" w:rsidRDefault="004C39A7" w:rsidP="004C39A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1040">
        <w:rPr>
          <w:rFonts w:ascii="Times New Roman" w:hAnsi="Times New Roman" w:cs="Times New Roman"/>
          <w:b/>
          <w:u w:val="single"/>
        </w:rPr>
        <w:t>PREGÃO ELETRÔNICO SRP UFPB/CPL-PU Nº 014/2016</w:t>
      </w:r>
    </w:p>
    <w:p w:rsidR="004C39A7" w:rsidRPr="0092721B" w:rsidRDefault="004C39A7" w:rsidP="004C39A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1040">
        <w:rPr>
          <w:rFonts w:ascii="Times New Roman" w:hAnsi="Times New Roman" w:cs="Times New Roman"/>
          <w:b/>
          <w:u w:val="single"/>
        </w:rPr>
        <w:t>PROCESSO ADMINISTRATIVO Nº 23074.038001/2016-34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882350">
        <w:rPr>
          <w:rFonts w:ascii="Times New Roman" w:hAnsi="Times New Roman" w:cs="Times New Roman"/>
        </w:rPr>
        <w:t>s serviços objeto do Pregão em epígrafe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 anexo ao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</w:t>
      </w:r>
      <w:r w:rsidR="00E77C81">
        <w:rPr>
          <w:rFonts w:ascii="Times New Roman" w:hAnsi="Times New Roman" w:cs="Times New Roman"/>
        </w:rPr>
        <w:t>menutenção</w:t>
      </w:r>
      <w:r w:rsidRPr="007E19F9">
        <w:rPr>
          <w:rFonts w:ascii="Times New Roman" w:hAnsi="Times New Roman" w:cs="Times New Roman"/>
        </w:rPr>
        <w:t xml:space="preserve">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>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formulas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</w:t>
      </w:r>
      <w:proofErr w:type="gramEnd"/>
      <w:r w:rsidR="00F32082" w:rsidRPr="007E19F9">
        <w:rPr>
          <w:rFonts w:ascii="Times New Roman" w:hAnsi="Times New Roman" w:cs="Times New Roman"/>
          <w:bCs/>
          <w:color w:val="000000"/>
        </w:rPr>
        <w:t xml:space="preserve">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lastRenderedPageBreak/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0F005B"/>
    <w:rsid w:val="001A65AE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C39A7"/>
    <w:rsid w:val="004E62FA"/>
    <w:rsid w:val="00504458"/>
    <w:rsid w:val="00560D8D"/>
    <w:rsid w:val="005D3B64"/>
    <w:rsid w:val="006C6032"/>
    <w:rsid w:val="006E75C5"/>
    <w:rsid w:val="00776EAE"/>
    <w:rsid w:val="00790CD9"/>
    <w:rsid w:val="007A4B6F"/>
    <w:rsid w:val="007E19F9"/>
    <w:rsid w:val="00805B91"/>
    <w:rsid w:val="00880984"/>
    <w:rsid w:val="00882350"/>
    <w:rsid w:val="00892987"/>
    <w:rsid w:val="009027DC"/>
    <w:rsid w:val="00926BBE"/>
    <w:rsid w:val="00985134"/>
    <w:rsid w:val="009C0888"/>
    <w:rsid w:val="009E5F98"/>
    <w:rsid w:val="00AB02CA"/>
    <w:rsid w:val="00B02F01"/>
    <w:rsid w:val="00B34990"/>
    <w:rsid w:val="00B3502F"/>
    <w:rsid w:val="00B86EE6"/>
    <w:rsid w:val="00B957FA"/>
    <w:rsid w:val="00BA5A03"/>
    <w:rsid w:val="00C35119"/>
    <w:rsid w:val="00C50CF6"/>
    <w:rsid w:val="00C52878"/>
    <w:rsid w:val="00DB3B82"/>
    <w:rsid w:val="00DD2C0D"/>
    <w:rsid w:val="00E77C81"/>
    <w:rsid w:val="00EA3342"/>
    <w:rsid w:val="00EF06B6"/>
    <w:rsid w:val="00EF462D"/>
    <w:rsid w:val="00F20169"/>
    <w:rsid w:val="00F32082"/>
    <w:rsid w:val="00F51259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1576</Words>
  <Characters>8512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2</cp:revision>
  <dcterms:created xsi:type="dcterms:W3CDTF">2016-08-10T15:20:00Z</dcterms:created>
  <dcterms:modified xsi:type="dcterms:W3CDTF">2016-08-10T15:20:00Z</dcterms:modified>
</cp:coreProperties>
</file>